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lang w:eastAsia="zh-CN"/>
          <w14:textFill>
            <w14:solidFill>
              <w14:schemeClr w14:val="tx1"/>
            </w14:solidFill>
          </w14:textFill>
        </w:rPr>
      </w:pPr>
    </w:p>
    <w:p>
      <w:pPr>
        <w:spacing w:after="240" w:afterLines="100"/>
        <w:ind w:left="0" w:leftChars="0" w:right="0" w:rightChars="0" w:firstLine="0" w:firstLineChars="0"/>
        <w:jc w:val="center"/>
        <w:outlineLvl w:val="9"/>
        <w:rPr>
          <w:rFonts w:hint="eastAsia" w:ascii="Times New Roman" w:hAnsi="Times New Roman" w:eastAsia="宋体" w:cs="Times New Roman"/>
          <w:b/>
          <w:bCs/>
          <w:color w:val="000000" w:themeColor="text1"/>
          <w:sz w:val="36"/>
          <w:szCs w:val="36"/>
          <w:lang w:eastAsia="zh-CN"/>
          <w14:textFill>
            <w14:solidFill>
              <w14:schemeClr w14:val="tx1"/>
            </w14:solidFill>
          </w14:textFill>
        </w:rPr>
      </w:pPr>
      <w:bookmarkStart w:id="0" w:name="_Toc17492"/>
      <w:bookmarkStart w:id="1" w:name="_Toc15139"/>
      <w:bookmarkStart w:id="2" w:name="_Toc14839"/>
      <w:bookmarkStart w:id="3" w:name="_Toc10239"/>
      <w:r>
        <w:rPr>
          <w:rFonts w:hint="eastAsia" w:ascii="Times New Roman" w:hAnsi="Times New Roman" w:eastAsia="宋体" w:cs="Times New Roman"/>
          <w:b/>
          <w:bCs/>
          <w:color w:val="000000" w:themeColor="text1"/>
          <w:sz w:val="36"/>
          <w:szCs w:val="36"/>
          <w:lang w:eastAsia="zh-CN"/>
          <w14:textFill>
            <w14:solidFill>
              <w14:schemeClr w14:val="tx1"/>
            </w14:solidFill>
          </w14:textFill>
        </w:rPr>
        <w:t>江苏喜锐信息科技有限公司</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36"/>
          <w:szCs w:val="36"/>
          <w:lang w:eastAsia="zh-CN"/>
          <w14:textFill>
            <w14:solidFill>
              <w14:schemeClr w14:val="tx1"/>
            </w14:solidFill>
          </w14:textFill>
        </w:rPr>
      </w:pPr>
      <w:r>
        <w:rPr>
          <w:rFonts w:hint="eastAsia" w:ascii="Times New Roman" w:hAnsi="Times New Roman" w:eastAsia="宋体" w:cs="Times New Roman"/>
          <w:b/>
          <w:bCs/>
          <w:color w:val="000000" w:themeColor="text1"/>
          <w:sz w:val="36"/>
          <w:szCs w:val="36"/>
          <w:lang w:eastAsia="zh-CN"/>
          <w14:textFill>
            <w14:solidFill>
              <w14:schemeClr w14:val="tx1"/>
            </w14:solidFill>
          </w14:textFill>
        </w:rPr>
        <w:t>电脑键盘及5G配套FPC刚挠结合板项目</w:t>
      </w:r>
      <w:r>
        <w:rPr>
          <w:rFonts w:hint="default" w:ascii="Times New Roman" w:hAnsi="Times New Roman" w:eastAsia="宋体" w:cs="Times New Roman"/>
          <w:b/>
          <w:bCs/>
          <w:color w:val="000000" w:themeColor="text1"/>
          <w:sz w:val="36"/>
          <w:szCs w:val="36"/>
          <w:lang w:eastAsia="zh-CN"/>
          <w14:textFill>
            <w14:solidFill>
              <w14:schemeClr w14:val="tx1"/>
            </w14:solidFill>
          </w14:textFill>
        </w:rPr>
        <w:t>一般变动</w:t>
      </w:r>
    </w:p>
    <w:p>
      <w:pPr>
        <w:spacing w:after="240" w:afterLines="100"/>
        <w:ind w:left="0" w:leftChars="0" w:right="0" w:rightChars="0" w:firstLine="0" w:firstLineChars="0"/>
        <w:jc w:val="center"/>
        <w:outlineLvl w:val="9"/>
        <w:rPr>
          <w:rFonts w:hint="default" w:ascii="Times New Roman" w:hAnsi="Times New Roman" w:eastAsia="宋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宋体" w:cs="Times New Roman"/>
          <w:b/>
          <w:bCs/>
          <w:color w:val="000000" w:themeColor="text1"/>
          <w:sz w:val="32"/>
          <w:szCs w:val="32"/>
          <w:lang w:val="en-US" w:eastAsia="zh-CN"/>
          <w14:textFill>
            <w14:solidFill>
              <w14:schemeClr w14:val="tx1"/>
            </w14:solidFill>
          </w14:textFill>
        </w:rPr>
        <w:t>（年产挠性板17.5万m²、刚挠结合板7.5万m²部分）</w:t>
      </w:r>
    </w:p>
    <w:p>
      <w:pPr>
        <w:spacing w:after="240" w:afterLines="100"/>
        <w:ind w:left="0" w:leftChars="0" w:right="0" w:rightChars="0" w:firstLine="0" w:firstLineChars="0"/>
        <w:jc w:val="center"/>
        <w:outlineLvl w:val="9"/>
        <w:rPr>
          <w:rFonts w:hint="default" w:ascii="Times New Roman" w:hAnsi="Times New Roman" w:eastAsia="宋体" w:cs="Times New Roman"/>
          <w:b/>
          <w:bCs/>
          <w:color w:val="000000" w:themeColor="text1"/>
          <w:sz w:val="36"/>
          <w:szCs w:val="36"/>
          <w:lang w:eastAsia="zh-CN"/>
          <w14:textFill>
            <w14:solidFill>
              <w14:schemeClr w14:val="tx1"/>
            </w14:solidFill>
          </w14:textFill>
        </w:rPr>
      </w:pPr>
      <w:r>
        <w:rPr>
          <w:rFonts w:hint="default" w:ascii="Times New Roman" w:hAnsi="Times New Roman" w:eastAsia="宋体" w:cs="Times New Roman"/>
          <w:b/>
          <w:bCs/>
          <w:color w:val="000000" w:themeColor="text1"/>
          <w:sz w:val="36"/>
          <w:szCs w:val="36"/>
          <w:lang w:val="en-US" w:eastAsia="zh-CN"/>
          <w14:textFill>
            <w14:solidFill>
              <w14:schemeClr w14:val="tx1"/>
            </w14:solidFill>
          </w14:textFill>
        </w:rPr>
        <w:t>供热系统技术改造项目</w:t>
      </w:r>
    </w:p>
    <w:p>
      <w:pPr>
        <w:spacing w:after="240" w:afterLines="100"/>
        <w:ind w:left="0" w:leftChars="0" w:right="0" w:rightChars="0" w:firstLine="0" w:firstLineChars="0"/>
        <w:jc w:val="center"/>
        <w:outlineLvl w:val="9"/>
        <w:rPr>
          <w:rFonts w:hint="default" w:ascii="Times New Roman" w:hAnsi="Times New Roman" w:eastAsia="宋体" w:cs="Times New Roman"/>
          <w:b/>
          <w:bCs/>
          <w:color w:val="000000" w:themeColor="text1"/>
          <w:sz w:val="36"/>
          <w:szCs w:val="36"/>
          <w:lang w:eastAsia="zh-CN"/>
          <w14:textFill>
            <w14:solidFill>
              <w14:schemeClr w14:val="tx1"/>
            </w14:solidFill>
          </w14:textFill>
        </w:rPr>
      </w:pPr>
      <w:r>
        <w:rPr>
          <w:rFonts w:hint="eastAsia" w:ascii="Times New Roman" w:hAnsi="Times New Roman" w:eastAsia="宋体" w:cs="Times New Roman"/>
          <w:b/>
          <w:bCs/>
          <w:color w:val="000000" w:themeColor="text1"/>
          <w:sz w:val="36"/>
          <w:szCs w:val="36"/>
          <w:lang w:val="en-US" w:eastAsia="zh-CN"/>
          <w14:textFill>
            <w14:solidFill>
              <w14:schemeClr w14:val="tx1"/>
            </w14:solidFill>
          </w14:textFill>
        </w:rPr>
        <w:t>一般变动</w:t>
      </w:r>
      <w:r>
        <w:rPr>
          <w:rFonts w:hint="default" w:ascii="Times New Roman" w:hAnsi="Times New Roman" w:eastAsia="宋体" w:cs="Times New Roman"/>
          <w:b/>
          <w:bCs/>
          <w:color w:val="000000" w:themeColor="text1"/>
          <w:sz w:val="36"/>
          <w:szCs w:val="36"/>
          <w:lang w:eastAsia="zh-CN"/>
          <w14:textFill>
            <w14:solidFill>
              <w14:schemeClr w14:val="tx1"/>
            </w14:solidFill>
          </w14:textFill>
        </w:rPr>
        <w:t>环境影响分析</w:t>
      </w:r>
      <w:bookmarkEnd w:id="0"/>
      <w:bookmarkEnd w:id="1"/>
      <w:bookmarkEnd w:id="2"/>
      <w:bookmarkEnd w:id="3"/>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000000" w:themeColor="text1"/>
          <w:sz w:val="20"/>
          <w:szCs w:val="20"/>
          <w:lang w:eastAsia="zh-CN"/>
          <w14:textFill>
            <w14:solidFill>
              <w14:schemeClr w14:val="tx1"/>
            </w14:solidFill>
          </w14:textFill>
        </w:rPr>
      </w:pPr>
    </w:p>
    <w:p>
      <w:pPr>
        <w:spacing w:after="0"/>
        <w:jc w:val="center"/>
        <w:outlineLvl w:val="9"/>
        <w:rPr>
          <w:rFonts w:hint="default" w:ascii="Times New Roman" w:hAnsi="Times New Roman" w:eastAsia="宋体" w:cs="Times New Roman"/>
          <w:b/>
          <w:bCs/>
          <w:color w:val="000000" w:themeColor="text1"/>
          <w:sz w:val="30"/>
          <w:szCs w:val="30"/>
          <w:lang w:eastAsia="zh-CN"/>
          <w14:textFill>
            <w14:solidFill>
              <w14:schemeClr w14:val="tx1"/>
            </w14:solidFill>
          </w14:textFill>
        </w:rPr>
      </w:pPr>
      <w:r>
        <w:rPr>
          <w:rFonts w:hint="eastAsia" w:ascii="Times New Roman" w:hAnsi="Times New Roman" w:eastAsia="宋体" w:cs="Times New Roman"/>
          <w:b/>
          <w:bCs/>
          <w:color w:val="000000" w:themeColor="text1"/>
          <w:sz w:val="30"/>
          <w:szCs w:val="30"/>
          <w:lang w:eastAsia="zh-CN"/>
          <w14:textFill>
            <w14:solidFill>
              <w14:schemeClr w14:val="tx1"/>
            </w14:solidFill>
          </w14:textFill>
        </w:rPr>
        <w:t>江苏喜锐信息科技有限公司</w:t>
      </w:r>
    </w:p>
    <w:p>
      <w:pPr>
        <w:spacing w:after="0"/>
        <w:jc w:val="center"/>
        <w:outlineLvl w:val="9"/>
        <w:rPr>
          <w:rFonts w:hint="default" w:ascii="Times New Roman" w:hAnsi="Times New Roman" w:eastAsia="宋体" w:cs="Times New Roman"/>
          <w:b/>
          <w:bCs/>
          <w:color w:val="000000" w:themeColor="text1"/>
          <w:sz w:val="30"/>
          <w:szCs w:val="30"/>
          <w14:textFill>
            <w14:solidFill>
              <w14:schemeClr w14:val="tx1"/>
            </w14:solidFill>
          </w14:textFill>
        </w:rPr>
      </w:pPr>
      <w:bookmarkStart w:id="4" w:name="_Toc4033"/>
      <w:bookmarkStart w:id="5" w:name="_Toc1348"/>
      <w:bookmarkStart w:id="6" w:name="_Toc17601"/>
      <w:bookmarkStart w:id="7" w:name="_Toc31974"/>
      <w:r>
        <w:rPr>
          <w:rFonts w:hint="default" w:ascii="Times New Roman" w:hAnsi="Times New Roman" w:eastAsia="宋体" w:cs="Times New Roman"/>
          <w:b/>
          <w:bCs/>
          <w:color w:val="000000" w:themeColor="text1"/>
          <w:sz w:val="30"/>
          <w:szCs w:val="30"/>
          <w:lang w:eastAsia="zh-CN"/>
          <w14:textFill>
            <w14:solidFill>
              <w14:schemeClr w14:val="tx1"/>
            </w14:solidFill>
          </w14:textFill>
        </w:rPr>
        <w:t>202</w:t>
      </w:r>
      <w:r>
        <w:rPr>
          <w:rFonts w:hint="eastAsia" w:ascii="Times New Roman" w:hAnsi="Times New Roman" w:eastAsia="宋体" w:cs="Times New Roman"/>
          <w:b/>
          <w:bCs/>
          <w:color w:val="000000" w:themeColor="text1"/>
          <w:sz w:val="30"/>
          <w:szCs w:val="30"/>
          <w:lang w:val="en-US" w:eastAsia="zh-CN"/>
          <w14:textFill>
            <w14:solidFill>
              <w14:schemeClr w14:val="tx1"/>
            </w14:solidFill>
          </w14:textFill>
        </w:rPr>
        <w:t>2</w:t>
      </w:r>
      <w:r>
        <w:rPr>
          <w:rFonts w:hint="default" w:ascii="Times New Roman" w:hAnsi="Times New Roman" w:eastAsia="宋体" w:cs="Times New Roman"/>
          <w:b/>
          <w:bCs/>
          <w:color w:val="000000" w:themeColor="text1"/>
          <w:sz w:val="30"/>
          <w:szCs w:val="30"/>
          <w14:textFill>
            <w14:solidFill>
              <w14:schemeClr w14:val="tx1"/>
            </w14:solidFill>
          </w14:textFill>
        </w:rPr>
        <w:t>年</w:t>
      </w:r>
      <w:r>
        <w:rPr>
          <w:rFonts w:hint="eastAsia" w:ascii="Times New Roman" w:hAnsi="Times New Roman" w:eastAsia="宋体" w:cs="Times New Roman"/>
          <w:b/>
          <w:bCs/>
          <w:color w:val="000000" w:themeColor="text1"/>
          <w:sz w:val="30"/>
          <w:szCs w:val="30"/>
          <w:lang w:val="en-US" w:eastAsia="zh-CN"/>
          <w14:textFill>
            <w14:solidFill>
              <w14:schemeClr w14:val="tx1"/>
            </w14:solidFill>
          </w14:textFill>
        </w:rPr>
        <w:t>7</w:t>
      </w:r>
      <w:r>
        <w:rPr>
          <w:rFonts w:hint="default" w:ascii="Times New Roman" w:hAnsi="Times New Roman" w:eastAsia="宋体" w:cs="Times New Roman"/>
          <w:b/>
          <w:bCs/>
          <w:color w:val="000000" w:themeColor="text1"/>
          <w:sz w:val="30"/>
          <w:szCs w:val="30"/>
          <w14:textFill>
            <w14:solidFill>
              <w14:schemeClr w14:val="tx1"/>
            </w14:solidFill>
          </w14:textFill>
        </w:rPr>
        <w:t>月</w:t>
      </w:r>
      <w:bookmarkEnd w:id="4"/>
      <w:bookmarkEnd w:id="5"/>
      <w:bookmarkEnd w:id="6"/>
      <w:bookmarkEnd w:id="7"/>
    </w:p>
    <w:p>
      <w:pPr>
        <w:pStyle w:val="15"/>
        <w:ind w:left="0" w:leftChars="0" w:firstLine="0" w:firstLineChars="0"/>
        <w:rPr>
          <w:rFonts w:hint="default"/>
        </w:rPr>
      </w:pPr>
    </w:p>
    <w:p>
      <w:pPr>
        <w:pStyle w:val="15"/>
        <w:ind w:left="0" w:leftChars="0" w:firstLine="0" w:firstLineChars="0"/>
        <w:rPr>
          <w:rFonts w:hint="default"/>
        </w:rPr>
        <w:sectPr>
          <w:headerReference r:id="rId5" w:type="default"/>
          <w:footerReference r:id="rId6" w:type="default"/>
          <w:pgSz w:w="11920" w:h="16840"/>
          <w:pgMar w:top="1440" w:right="1800" w:bottom="1440" w:left="1800" w:header="0" w:footer="997" w:gutter="0"/>
          <w:pgBorders>
            <w:top w:val="none" w:sz="0" w:space="0"/>
            <w:left w:val="none" w:sz="0" w:space="0"/>
            <w:bottom w:val="none" w:sz="0" w:space="0"/>
            <w:right w:val="none" w:sz="0" w:space="0"/>
          </w:pgBorders>
          <w:pgNumType w:start="1"/>
          <w:cols w:space="720" w:num="1"/>
        </w:sectPr>
      </w:pPr>
    </w:p>
    <w:sdt>
      <w:sdtPr>
        <w:rPr>
          <w:rStyle w:val="24"/>
          <w:rFonts w:hint="default" w:ascii="Times New Roman" w:hAnsi="Times New Roman" w:eastAsia="宋体" w:cs="Times New Roman"/>
          <w:color w:val="000000" w:themeColor="text1"/>
          <w14:textFill>
            <w14:solidFill>
              <w14:schemeClr w14:val="tx1"/>
            </w14:solidFill>
          </w14:textFill>
        </w:rPr>
        <w:id w:val="147454222"/>
        <w15:color w:val="DBDBDB"/>
        <w:docPartObj>
          <w:docPartGallery w:val="Table of Contents"/>
          <w:docPartUnique/>
        </w:docPartObj>
      </w:sdtPr>
      <w:sdtEndPr>
        <w:rPr>
          <w:rStyle w:val="24"/>
          <w:rFonts w:hint="default" w:ascii="Times New Roman" w:hAnsi="Times New Roman" w:eastAsia="宋体" w:cs="Times New Roman"/>
          <w:color w:val="000000" w:themeColor="text1"/>
          <w14:textFill>
            <w14:solidFill>
              <w14:schemeClr w14:val="tx1"/>
            </w14:solidFill>
          </w14:textFill>
        </w:rPr>
      </w:sdtEndPr>
      <w:sdtContent>
        <w:p>
          <w:pPr>
            <w:ind w:firstLine="0" w:firstLineChars="0"/>
            <w:jc w:val="center"/>
            <w:outlineLvl w:val="9"/>
            <w:rPr>
              <w:rFonts w:hint="default" w:ascii="Times New Roman" w:hAnsi="Times New Roman" w:eastAsia="宋体" w:cs="Times New Roman"/>
              <w:b/>
              <w:color w:val="000000" w:themeColor="text1"/>
              <w:sz w:val="28"/>
              <w:szCs w:val="28"/>
              <w:lang w:val="en-US" w:eastAsia="en-US" w:bidi="ar-SA"/>
              <w14:textFill>
                <w14:solidFill>
                  <w14:schemeClr w14:val="tx1"/>
                </w14:solidFill>
              </w14:textFill>
            </w:rPr>
          </w:pPr>
          <w:bookmarkStart w:id="8" w:name="_Toc14495"/>
          <w:bookmarkStart w:id="9" w:name="_Toc2006"/>
          <w:bookmarkStart w:id="10" w:name="_Toc5580"/>
          <w:r>
            <w:rPr>
              <w:rStyle w:val="24"/>
              <w:rFonts w:hint="default" w:ascii="Times New Roman" w:hAnsi="Times New Roman" w:eastAsia="宋体" w:cs="Times New Roman"/>
              <w:color w:val="000000" w:themeColor="text1"/>
              <w14:textFill>
                <w14:solidFill>
                  <w14:schemeClr w14:val="tx1"/>
                </w14:solidFill>
              </w14:textFill>
            </w:rPr>
            <w:t>目</w:t>
          </w:r>
          <w:r>
            <w:rPr>
              <w:rStyle w:val="24"/>
              <w:rFonts w:hint="default" w:ascii="Times New Roman" w:hAnsi="Times New Roman" w:eastAsia="宋体" w:cs="Times New Roman"/>
              <w:color w:val="000000" w:themeColor="text1"/>
              <w:lang w:eastAsia="zh-CN"/>
              <w14:textFill>
                <w14:solidFill>
                  <w14:schemeClr w14:val="tx1"/>
                </w14:solidFill>
              </w14:textFill>
            </w:rPr>
            <w:t xml:space="preserve">   </w:t>
          </w:r>
          <w:r>
            <w:rPr>
              <w:rStyle w:val="24"/>
              <w:rFonts w:hint="default" w:ascii="Times New Roman" w:hAnsi="Times New Roman" w:eastAsia="宋体" w:cs="Times New Roman"/>
              <w:color w:val="000000" w:themeColor="text1"/>
              <w14:textFill>
                <w14:solidFill>
                  <w14:schemeClr w14:val="tx1"/>
                </w14:solidFill>
              </w14:textFill>
            </w:rPr>
            <w:t>录</w:t>
          </w:r>
          <w:bookmarkEnd w:id="8"/>
          <w:bookmarkEnd w:id="9"/>
          <w:bookmarkEnd w:id="10"/>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color w:val="000000" w:themeColor="text1"/>
              <w:szCs w:val="28"/>
              <w14:textFill>
                <w14:solidFill>
                  <w14:schemeClr w14:val="tx1"/>
                </w14:solidFill>
              </w14:textFill>
            </w:rPr>
            <w:instrText xml:space="preserve">TOC \o "1-2" \h \u </w:instrText>
          </w:r>
          <w:r>
            <w:rPr>
              <w:rFonts w:hint="default" w:ascii="Times New Roman" w:hAnsi="Times New Roman" w:eastAsia="宋体" w:cs="Times New Roman"/>
              <w:color w:val="000000" w:themeColor="text1"/>
              <w:szCs w:val="28"/>
              <w14:textFill>
                <w14:solidFill>
                  <w14:schemeClr w14:val="tx1"/>
                </w14:solidFill>
              </w14:textFill>
            </w:rPr>
            <w:fldChar w:fldCharType="separate"/>
          </w:r>
        </w:p>
        <w:p>
          <w:pPr>
            <w:pStyle w:val="12"/>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_Toc27521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1 变动情况</w:t>
          </w:r>
          <w:r>
            <w:tab/>
          </w:r>
          <w:r>
            <w:fldChar w:fldCharType="begin"/>
          </w:r>
          <w:r>
            <w:instrText xml:space="preserve"> PAGEREF _Toc27521 \h </w:instrText>
          </w:r>
          <w:r>
            <w:fldChar w:fldCharType="separate"/>
          </w:r>
          <w:r>
            <w:t>1</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_Toc17808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1.1项目性质变动情况</w:t>
          </w:r>
          <w:r>
            <w:tab/>
          </w:r>
          <w:r>
            <w:fldChar w:fldCharType="begin"/>
          </w:r>
          <w:r>
            <w:instrText xml:space="preserve"> PAGEREF _Toc17808 \h </w:instrText>
          </w:r>
          <w:r>
            <w:fldChar w:fldCharType="separate"/>
          </w:r>
          <w:r>
            <w:t>1</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_Toc9456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1.2 项目建设规模变动情况</w:t>
          </w:r>
          <w:r>
            <w:tab/>
          </w:r>
          <w:r>
            <w:fldChar w:fldCharType="begin"/>
          </w:r>
          <w:r>
            <w:instrText xml:space="preserve"> PAGEREF _Toc9456 \h </w:instrText>
          </w:r>
          <w:r>
            <w:fldChar w:fldCharType="separate"/>
          </w:r>
          <w:r>
            <w:t>2</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_Toc11540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1.3 地理位置及平面布置变动情况</w:t>
          </w:r>
          <w:r>
            <w:tab/>
          </w:r>
          <w:r>
            <w:fldChar w:fldCharType="begin"/>
          </w:r>
          <w:r>
            <w:instrText xml:space="preserve"> PAGEREF _Toc11540 \h </w:instrText>
          </w:r>
          <w:r>
            <w:fldChar w:fldCharType="separate"/>
          </w:r>
          <w:r>
            <w:t>6</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_Toc5391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1.5环保措施变动情况</w:t>
          </w:r>
          <w:r>
            <w:tab/>
          </w:r>
          <w:r>
            <w:fldChar w:fldCharType="begin"/>
          </w:r>
          <w:r>
            <w:instrText xml:space="preserve"> PAGEREF _Toc5391 \h </w:instrText>
          </w:r>
          <w:r>
            <w:fldChar w:fldCharType="separate"/>
          </w:r>
          <w:r>
            <w:t>10</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_Toc16985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1.6排污口变动情况</w:t>
          </w:r>
          <w:r>
            <w:tab/>
          </w:r>
          <w:r>
            <w:fldChar w:fldCharType="begin"/>
          </w:r>
          <w:r>
            <w:instrText xml:space="preserve"> PAGEREF _Toc16985 \h </w:instrText>
          </w:r>
          <w:r>
            <w:fldChar w:fldCharType="separate"/>
          </w:r>
          <w:r>
            <w:t>12</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_Toc6010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1.7与环办环评函〔2020﹞688 号文对比分析</w:t>
          </w:r>
          <w:r>
            <w:tab/>
          </w:r>
          <w:r>
            <w:fldChar w:fldCharType="begin"/>
          </w:r>
          <w:r>
            <w:instrText xml:space="preserve"> PAGEREF _Toc6010 \h </w:instrText>
          </w:r>
          <w:r>
            <w:fldChar w:fldCharType="separate"/>
          </w:r>
          <w:r>
            <w:t>13</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2"/>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_Toc6924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2 评价要素</w:t>
          </w:r>
          <w:r>
            <w:tab/>
          </w:r>
          <w:r>
            <w:fldChar w:fldCharType="begin"/>
          </w:r>
          <w:r>
            <w:instrText xml:space="preserve"> PAGEREF _Toc6924 \h </w:instrText>
          </w:r>
          <w:r>
            <w:fldChar w:fldCharType="separate"/>
          </w:r>
          <w:r>
            <w:t>18</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_Toc31139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2.1</w:t>
          </w:r>
          <w:r>
            <w:rPr>
              <w:rFonts w:hint="eastAsia" w:ascii="Times New Roman" w:hAnsi="Times New Roman" w:eastAsia="宋体" w:cs="Times New Roman"/>
              <w:lang w:val="en-US" w:eastAsia="zh-CN"/>
            </w:rPr>
            <w:t>评价等级</w:t>
          </w:r>
          <w:r>
            <w:tab/>
          </w:r>
          <w:r>
            <w:fldChar w:fldCharType="begin"/>
          </w:r>
          <w:r>
            <w:instrText xml:space="preserve"> PAGEREF _Toc31139 \h </w:instrText>
          </w:r>
          <w:r>
            <w:fldChar w:fldCharType="separate"/>
          </w:r>
          <w:r>
            <w:t>18</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_Toc2921 </w:instrText>
          </w:r>
          <w:r>
            <w:rPr>
              <w:rFonts w:hint="default" w:ascii="Times New Roman" w:hAnsi="Times New Roman" w:eastAsia="宋体" w:cs="Times New Roman"/>
              <w:szCs w:val="28"/>
            </w:rPr>
            <w:fldChar w:fldCharType="separate"/>
          </w:r>
          <w:r>
            <w:rPr>
              <w:rFonts w:hint="eastAsia" w:ascii="Times New Roman" w:hAnsi="Times New Roman" w:eastAsia="宋体" w:cs="Times New Roman"/>
              <w:lang w:val="en-US" w:eastAsia="zh-CN"/>
            </w:rPr>
            <w:t>2.2评价范围</w:t>
          </w:r>
          <w:r>
            <w:tab/>
          </w:r>
          <w:r>
            <w:fldChar w:fldCharType="begin"/>
          </w:r>
          <w:r>
            <w:instrText xml:space="preserve"> PAGEREF _Toc2921 \h </w:instrText>
          </w:r>
          <w:r>
            <w:fldChar w:fldCharType="separate"/>
          </w:r>
          <w:r>
            <w:t>18</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_Toc20768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2.</w:t>
          </w:r>
          <w:r>
            <w:rPr>
              <w:rFonts w:hint="eastAsia" w:ascii="Times New Roman" w:hAnsi="Times New Roman" w:eastAsia="宋体" w:cs="Times New Roman"/>
              <w:lang w:val="en-US" w:eastAsia="zh-CN"/>
            </w:rPr>
            <w:t>3</w:t>
          </w:r>
          <w:r>
            <w:rPr>
              <w:rFonts w:hint="default" w:ascii="Times New Roman" w:hAnsi="Times New Roman" w:eastAsia="宋体" w:cs="Times New Roman"/>
              <w:lang w:eastAsia="zh-CN"/>
            </w:rPr>
            <w:t>环境质量标准</w:t>
          </w:r>
          <w:r>
            <w:tab/>
          </w:r>
          <w:r>
            <w:fldChar w:fldCharType="begin"/>
          </w:r>
          <w:r>
            <w:instrText xml:space="preserve"> PAGEREF _Toc20768 \h </w:instrText>
          </w:r>
          <w:r>
            <w:fldChar w:fldCharType="separate"/>
          </w:r>
          <w:r>
            <w:t>19</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_Toc17362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2.</w:t>
          </w:r>
          <w:r>
            <w:rPr>
              <w:rFonts w:hint="eastAsia" w:ascii="Times New Roman" w:hAnsi="Times New Roman" w:eastAsia="宋体" w:cs="Times New Roman"/>
              <w:lang w:val="en-US" w:eastAsia="zh-CN"/>
            </w:rPr>
            <w:t>4</w:t>
          </w:r>
          <w:r>
            <w:rPr>
              <w:rFonts w:hint="default" w:ascii="Times New Roman" w:hAnsi="Times New Roman" w:eastAsia="宋体" w:cs="Times New Roman"/>
              <w:lang w:eastAsia="zh-CN"/>
            </w:rPr>
            <w:t>污染物排放标准</w:t>
          </w:r>
          <w:r>
            <w:tab/>
          </w:r>
          <w:r>
            <w:fldChar w:fldCharType="begin"/>
          </w:r>
          <w:r>
            <w:instrText xml:space="preserve"> PAGEREF _Toc17362 \h </w:instrText>
          </w:r>
          <w:r>
            <w:fldChar w:fldCharType="separate"/>
          </w:r>
          <w:r>
            <w:t>19</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2"/>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_Toc16746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3 环境影响分析</w:t>
          </w:r>
          <w:r>
            <w:tab/>
          </w:r>
          <w:r>
            <w:fldChar w:fldCharType="begin"/>
          </w:r>
          <w:r>
            <w:instrText xml:space="preserve"> PAGEREF _Toc16746 \h </w:instrText>
          </w:r>
          <w:r>
            <w:fldChar w:fldCharType="separate"/>
          </w:r>
          <w:r>
            <w:t>21</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_Toc9228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3.1废水影响分析</w:t>
          </w:r>
          <w:r>
            <w:tab/>
          </w:r>
          <w:r>
            <w:fldChar w:fldCharType="begin"/>
          </w:r>
          <w:r>
            <w:instrText xml:space="preserve"> PAGEREF _Toc9228 \h </w:instrText>
          </w:r>
          <w:r>
            <w:fldChar w:fldCharType="separate"/>
          </w:r>
          <w:r>
            <w:t>21</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_Toc5268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3.2废气影响分析</w:t>
          </w:r>
          <w:r>
            <w:tab/>
          </w:r>
          <w:r>
            <w:fldChar w:fldCharType="begin"/>
          </w:r>
          <w:r>
            <w:instrText xml:space="preserve"> PAGEREF _Toc5268 \h </w:instrText>
          </w:r>
          <w:r>
            <w:fldChar w:fldCharType="separate"/>
          </w:r>
          <w:r>
            <w:t>21</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_Toc14751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3.3固废影响分析</w:t>
          </w:r>
          <w:r>
            <w:tab/>
          </w:r>
          <w:r>
            <w:fldChar w:fldCharType="begin"/>
          </w:r>
          <w:r>
            <w:instrText xml:space="preserve"> PAGEREF _Toc14751 \h </w:instrText>
          </w:r>
          <w:r>
            <w:fldChar w:fldCharType="separate"/>
          </w:r>
          <w:r>
            <w:t>21</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3"/>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_Toc26311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lang w:eastAsia="zh-CN"/>
            </w:rPr>
            <w:t>3.4噪声影响分析</w:t>
          </w:r>
          <w:r>
            <w:tab/>
          </w:r>
          <w:r>
            <w:fldChar w:fldCharType="begin"/>
          </w:r>
          <w:r>
            <w:instrText xml:space="preserve"> PAGEREF _Toc26311 \h </w:instrText>
          </w:r>
          <w:r>
            <w:fldChar w:fldCharType="separate"/>
          </w:r>
          <w:r>
            <w:t>21</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pStyle w:val="12"/>
            <w:tabs>
              <w:tab w:val="right" w:leader="dot" w:pos="8320"/>
            </w:tabs>
          </w:pPr>
          <w:r>
            <w:rPr>
              <w:rFonts w:hint="default" w:ascii="Times New Roman" w:hAnsi="Times New Roman" w:eastAsia="宋体" w:cs="Times New Roman"/>
              <w:color w:val="000000" w:themeColor="text1"/>
              <w:szCs w:val="28"/>
              <w14:textFill>
                <w14:solidFill>
                  <w14:schemeClr w14:val="tx1"/>
                </w14:solidFill>
              </w14:textFill>
            </w:rPr>
            <w:fldChar w:fldCharType="begin"/>
          </w:r>
          <w:r>
            <w:rPr>
              <w:rFonts w:hint="default" w:ascii="Times New Roman" w:hAnsi="Times New Roman" w:eastAsia="宋体" w:cs="Times New Roman"/>
              <w:szCs w:val="28"/>
            </w:rPr>
            <w:instrText xml:space="preserve"> HYPERLINK \l _Toc18915 </w:instrText>
          </w:r>
          <w:r>
            <w:rPr>
              <w:rFonts w:hint="default" w:ascii="Times New Roman" w:hAnsi="Times New Roman" w:eastAsia="宋体" w:cs="Times New Roman"/>
              <w:szCs w:val="28"/>
            </w:rPr>
            <w:fldChar w:fldCharType="separate"/>
          </w:r>
          <w:r>
            <w:rPr>
              <w:rFonts w:hint="eastAsia" w:ascii="Times New Roman" w:hAnsi="Times New Roman" w:eastAsia="宋体" w:cs="Times New Roman"/>
              <w:lang w:val="en-US" w:eastAsia="zh-CN"/>
            </w:rPr>
            <w:t>4</w:t>
          </w:r>
          <w:r>
            <w:rPr>
              <w:rFonts w:hint="default" w:ascii="Times New Roman" w:hAnsi="Times New Roman" w:eastAsia="宋体" w:cs="Times New Roman"/>
              <w:lang w:eastAsia="zh-CN"/>
            </w:rPr>
            <w:t xml:space="preserve"> 结论</w:t>
          </w:r>
          <w:r>
            <w:tab/>
          </w:r>
          <w:r>
            <w:fldChar w:fldCharType="begin"/>
          </w:r>
          <w:r>
            <w:instrText xml:space="preserve"> PAGEREF _Toc18915 \h </w:instrText>
          </w:r>
          <w:r>
            <w:fldChar w:fldCharType="separate"/>
          </w:r>
          <w:r>
            <w:t>22</w:t>
          </w:r>
          <w:r>
            <w:fldChar w:fldCharType="end"/>
          </w:r>
          <w:r>
            <w:rPr>
              <w:rFonts w:hint="default" w:ascii="Times New Roman" w:hAnsi="Times New Roman" w:eastAsia="宋体" w:cs="Times New Roman"/>
              <w:color w:val="000000" w:themeColor="text1"/>
              <w:szCs w:val="28"/>
              <w14:textFill>
                <w14:solidFill>
                  <w14:schemeClr w14:val="tx1"/>
                </w14:solidFill>
              </w14:textFill>
            </w:rPr>
            <w:fldChar w:fldCharType="end"/>
          </w:r>
        </w:p>
        <w:p>
          <w:pPr>
            <w:ind w:firstLine="0" w:firstLineChars="0"/>
            <w:jc w:val="center"/>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Cs w:val="28"/>
              <w14:textFill>
                <w14:solidFill>
                  <w14:schemeClr w14:val="tx1"/>
                </w14:solidFill>
              </w14:textFill>
            </w:rPr>
            <w:fldChar w:fldCharType="end"/>
          </w:r>
        </w:p>
      </w:sdtContent>
    </w:sdt>
    <w:p>
      <w:pPr>
        <w:ind w:firstLine="0" w:firstLineChars="0"/>
        <w:rPr>
          <w:rFonts w:hint="default" w:ascii="Times New Roman" w:hAnsi="Times New Roman" w:eastAsia="宋体" w:cs="Times New Roman"/>
          <w:color w:val="000000" w:themeColor="text1"/>
          <w:lang w:eastAsia="zh-CN"/>
          <w14:textFill>
            <w14:solidFill>
              <w14:schemeClr w14:val="tx1"/>
            </w14:solidFill>
          </w14:textFill>
        </w:rPr>
        <w:sectPr>
          <w:footerReference r:id="rId7" w:type="default"/>
          <w:pgSz w:w="11920" w:h="16840"/>
          <w:pgMar w:top="1440" w:right="1800" w:bottom="1440" w:left="1800" w:header="0" w:footer="997" w:gutter="0"/>
          <w:pgBorders>
            <w:top w:val="none" w:sz="0" w:space="0"/>
            <w:left w:val="none" w:sz="0" w:space="0"/>
            <w:bottom w:val="none" w:sz="0" w:space="0"/>
            <w:right w:val="none" w:sz="0" w:space="0"/>
          </w:pgBorders>
          <w:pgNumType w:fmt="upperRoman" w:start="1"/>
          <w:cols w:space="720" w:num="1"/>
        </w:sectPr>
      </w:pPr>
    </w:p>
    <w:p>
      <w:pPr>
        <w:pStyle w:val="4"/>
        <w:rPr>
          <w:rFonts w:hint="default" w:ascii="Times New Roman" w:hAnsi="Times New Roman" w:eastAsia="宋体" w:cs="Times New Roman"/>
          <w:color w:val="000000" w:themeColor="text1"/>
          <w:lang w:eastAsia="zh-CN"/>
          <w14:textFill>
            <w14:solidFill>
              <w14:schemeClr w14:val="tx1"/>
            </w14:solidFill>
          </w14:textFill>
        </w:rPr>
      </w:pPr>
      <w:bookmarkStart w:id="11" w:name="_Toc27521"/>
      <w:r>
        <w:rPr>
          <w:rFonts w:hint="default" w:ascii="Times New Roman" w:hAnsi="Times New Roman" w:eastAsia="宋体" w:cs="Times New Roman"/>
          <w:color w:val="000000" w:themeColor="text1"/>
          <w:lang w:eastAsia="zh-CN"/>
          <w14:textFill>
            <w14:solidFill>
              <w14:schemeClr w14:val="tx1"/>
            </w14:solidFill>
          </w14:textFill>
        </w:rPr>
        <w:t>1 变动情况</w:t>
      </w:r>
      <w:bookmarkEnd w:id="11"/>
    </w:p>
    <w:p>
      <w:pPr>
        <w:ind w:firstLine="560"/>
        <w:jc w:val="both"/>
        <w:rPr>
          <w:rFonts w:hint="default"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江苏喜锐信息科技有限公司</w:t>
      </w:r>
      <w:r>
        <w:rPr>
          <w:rFonts w:hint="default" w:ascii="Times New Roman" w:hAnsi="Times New Roman" w:eastAsia="宋体" w:cs="Times New Roman"/>
          <w:color w:val="000000" w:themeColor="text1"/>
          <w:lang w:eastAsia="zh-CN"/>
          <w14:textFill>
            <w14:solidFill>
              <w14:schemeClr w14:val="tx1"/>
            </w14:solidFill>
          </w14:textFill>
        </w:rPr>
        <w:t>（以下简称“</w:t>
      </w:r>
      <w:r>
        <w:rPr>
          <w:rFonts w:hint="eastAsia" w:ascii="Times New Roman" w:hAnsi="Times New Roman" w:eastAsia="宋体" w:cs="Times New Roman"/>
          <w:color w:val="000000" w:themeColor="text1"/>
          <w:lang w:val="en-US" w:eastAsia="zh-CN"/>
          <w14:textFill>
            <w14:solidFill>
              <w14:schemeClr w14:val="tx1"/>
            </w14:solidFill>
          </w14:textFill>
        </w:rPr>
        <w:t>喜锐公司</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位于</w:t>
      </w:r>
      <w:r>
        <w:rPr>
          <w:rFonts w:hint="default" w:ascii="Times New Roman" w:hAnsi="Times New Roman" w:eastAsia="宋体" w:cs="Times New Roman"/>
          <w:color w:val="000000" w:themeColor="text1"/>
          <w:lang w:val="en-US" w:eastAsia="zh-CN"/>
          <w14:textFill>
            <w14:solidFill>
              <w14:schemeClr w14:val="tx1"/>
            </w14:solidFill>
          </w14:textFill>
        </w:rPr>
        <w:t>东台市经济开发区红星河路西侧，东区五路北侧</w:t>
      </w:r>
      <w:r>
        <w:rPr>
          <w:rFonts w:hint="eastAsia" w:ascii="Times New Roman" w:hAnsi="Times New Roman" w:eastAsia="宋体" w:cs="Times New Roman"/>
          <w:color w:val="000000" w:themeColor="text1"/>
          <w:lang w:val="en-US" w:eastAsia="zh-CN"/>
          <w14:textFill>
            <w14:solidFill>
              <w14:schemeClr w14:val="tx1"/>
            </w14:solidFill>
          </w14:textFill>
        </w:rPr>
        <w:t>，2021年投资125000万元建设电脑键盘及5G配套FPC刚挠结合板项目及供热系统技术改造项目。实际建设FPC生产线一条、导热油炉一套，年产挠性板17.5万m²、刚挠结合板7.5万m²。</w:t>
      </w:r>
    </w:p>
    <w:p>
      <w:pPr>
        <w:ind w:firstLine="56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环保手续履行情况及项目生产情况见表 1-1</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1"/>
          <w:lang w:eastAsia="zh-CN"/>
          <w14:textFill>
            <w14:solidFill>
              <w14:schemeClr w14:val="tx1"/>
            </w14:solidFill>
          </w14:textFill>
        </w:rPr>
      </w:pPr>
      <w:r>
        <w:rPr>
          <w:rFonts w:hint="default" w:ascii="Times New Roman" w:hAnsi="Times New Roman" w:eastAsia="宋体" w:cs="Times New Roman"/>
          <w:b/>
          <w:bCs/>
          <w:color w:val="000000" w:themeColor="text1"/>
          <w:sz w:val="24"/>
          <w:szCs w:val="21"/>
          <w:lang w:eastAsia="zh-CN"/>
          <w14:textFill>
            <w14:solidFill>
              <w14:schemeClr w14:val="tx1"/>
            </w14:solidFill>
          </w14:textFill>
        </w:rPr>
        <w:t>表 1-1   现有建设内容、环评批复、环保竣工验收情况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2768"/>
        <w:gridCol w:w="2488"/>
        <w:gridCol w:w="1260"/>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序号</w:t>
            </w:r>
          </w:p>
        </w:tc>
        <w:tc>
          <w:tcPr>
            <w:tcW w:w="16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项目名称</w:t>
            </w:r>
          </w:p>
        </w:tc>
        <w:tc>
          <w:tcPr>
            <w:tcW w:w="14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批复情况</w:t>
            </w:r>
          </w:p>
        </w:tc>
        <w:tc>
          <w:tcPr>
            <w:tcW w:w="7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验收情况</w:t>
            </w:r>
          </w:p>
        </w:tc>
        <w:tc>
          <w:tcPr>
            <w:tcW w:w="7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w:t>
            </w:r>
          </w:p>
        </w:tc>
        <w:tc>
          <w:tcPr>
            <w:tcW w:w="16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电脑键盘及5G配套FPC刚挠结合板项目</w:t>
            </w:r>
          </w:p>
        </w:tc>
        <w:tc>
          <w:tcPr>
            <w:tcW w:w="14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盐环审〔2021〕81002号</w:t>
            </w:r>
          </w:p>
        </w:tc>
        <w:tc>
          <w:tcPr>
            <w:tcW w:w="7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未验收</w:t>
            </w:r>
          </w:p>
        </w:tc>
        <w:tc>
          <w:tcPr>
            <w:tcW w:w="7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6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供热系统技术改造项目</w:t>
            </w:r>
          </w:p>
        </w:tc>
        <w:tc>
          <w:tcPr>
            <w:tcW w:w="14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盐环审〔2021〕81089号</w:t>
            </w:r>
          </w:p>
        </w:tc>
        <w:tc>
          <w:tcPr>
            <w:tcW w:w="7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未验收</w:t>
            </w:r>
          </w:p>
        </w:tc>
        <w:tc>
          <w:tcPr>
            <w:tcW w:w="7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试运行</w:t>
            </w:r>
          </w:p>
        </w:tc>
      </w:tr>
    </w:tbl>
    <w:p>
      <w:pPr>
        <w:spacing w:before="120" w:beforeLines="50"/>
        <w:ind w:firstLine="56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由于现有实际建设情况与环评批复内容发生变动，需要对实际建设情况进行统计，并针对变动情况分析其可能造成的环境污染情况。</w:t>
      </w:r>
    </w:p>
    <w:p>
      <w:pPr>
        <w:ind w:firstLine="56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根据《关于印发〈污染影响类建设项目重大变动清单（试行）〉的通知》（环办环评函</w:t>
      </w:r>
      <w:r>
        <w:rPr>
          <w:rFonts w:hint="eastAsia"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2020</w:t>
      </w:r>
      <w:r>
        <w:rPr>
          <w:rFonts w:hint="eastAsia"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688 号）要求，</w:t>
      </w:r>
      <w:r>
        <w:rPr>
          <w:rFonts w:hint="default" w:ascii="Times New Roman" w:hAnsi="Times New Roman" w:eastAsia="宋体" w:cs="Times New Roman"/>
          <w:color w:val="000000" w:themeColor="text1"/>
          <w:highlight w:val="none"/>
          <w:lang w:eastAsia="zh-CN"/>
          <w14:textFill>
            <w14:solidFill>
              <w14:schemeClr w14:val="tx1"/>
            </w14:solidFill>
          </w14:textFill>
        </w:rPr>
        <w:t>本次变动属于</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平面布置、风险防范措施、污染物排放方式发生变动。</w:t>
      </w:r>
    </w:p>
    <w:p>
      <w:pPr>
        <w:ind w:firstLine="56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根据《省生态环境厅关于加强涉变动项目环评与排污许可管理衔接的通知》（苏环办〔2021〕122号）及相关环境管理要求，现我公司</w:t>
      </w:r>
      <w:r>
        <w:rPr>
          <w:rFonts w:hint="eastAsia" w:ascii="Times New Roman" w:hAnsi="Times New Roman" w:eastAsia="宋体" w:cs="Times New Roman"/>
          <w:color w:val="000000" w:themeColor="text1"/>
          <w:lang w:val="en-US" w:eastAsia="zh-CN"/>
          <w14:textFill>
            <w14:solidFill>
              <w14:schemeClr w14:val="tx1"/>
            </w14:solidFill>
          </w14:textFill>
        </w:rPr>
        <w:t>编制</w:t>
      </w:r>
      <w:r>
        <w:rPr>
          <w:rFonts w:hint="default" w:ascii="Times New Roman" w:hAnsi="Times New Roman" w:eastAsia="宋体" w:cs="Times New Roman"/>
          <w:color w:val="000000" w:themeColor="text1"/>
          <w:lang w:eastAsia="zh-CN"/>
          <w14:textFill>
            <w14:solidFill>
              <w14:schemeClr w14:val="tx1"/>
            </w14:solidFill>
          </w14:textFill>
        </w:rPr>
        <w:t>《一般变动环境影响分析报告》，给出建设项目变动内容清单，以及对周围环境的影响。</w:t>
      </w:r>
    </w:p>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12" w:name="_Toc17808"/>
      <w:r>
        <w:rPr>
          <w:rFonts w:hint="default" w:ascii="Times New Roman" w:hAnsi="Times New Roman" w:eastAsia="宋体" w:cs="Times New Roman"/>
          <w:color w:val="000000" w:themeColor="text1"/>
          <w:lang w:eastAsia="zh-CN"/>
          <w14:textFill>
            <w14:solidFill>
              <w14:schemeClr w14:val="tx1"/>
            </w14:solidFill>
          </w14:textFill>
        </w:rPr>
        <w:t>1.1项目性质变动情况</w:t>
      </w:r>
      <w:bookmarkEnd w:id="12"/>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1"/>
          <w:lang w:eastAsia="zh-CN"/>
          <w14:textFill>
            <w14:solidFill>
              <w14:schemeClr w14:val="tx1"/>
            </w14:solidFill>
          </w14:textFill>
        </w:rPr>
      </w:pPr>
      <w:r>
        <w:rPr>
          <w:rFonts w:hint="default" w:ascii="Times New Roman" w:hAnsi="Times New Roman" w:eastAsia="宋体" w:cs="Times New Roman"/>
          <w:b/>
          <w:bCs/>
          <w:color w:val="000000" w:themeColor="text1"/>
          <w:sz w:val="24"/>
          <w:szCs w:val="21"/>
          <w:lang w:eastAsia="zh-CN"/>
          <w14:textFill>
            <w14:solidFill>
              <w14:schemeClr w14:val="tx1"/>
            </w14:solidFill>
          </w14:textFill>
        </w:rPr>
        <w:t>表 1.1-1   项目性质变动表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2939"/>
        <w:gridCol w:w="293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类别</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变动前</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变动后</w:t>
            </w:r>
          </w:p>
        </w:tc>
        <w:tc>
          <w:tcPr>
            <w:tcW w:w="12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建设地点</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东台市经济开发区红星河路西侧，东区五路北侧</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东台市经济开发区红星河路西侧，东区五路北侧</w:t>
            </w:r>
          </w:p>
        </w:tc>
        <w:tc>
          <w:tcPr>
            <w:tcW w:w="12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职工人数</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960</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人</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140</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人</w:t>
            </w:r>
          </w:p>
        </w:tc>
        <w:tc>
          <w:tcPr>
            <w:tcW w:w="12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未建设完全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工作时间</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年工作300天，两班制，每班12h，年运行7200小时</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年工作300天，两班制，每班12h，年运行7200小时</w:t>
            </w:r>
          </w:p>
        </w:tc>
        <w:tc>
          <w:tcPr>
            <w:tcW w:w="12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行业代码</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〔C3912〕计算机零部件制造〔C3982〕电子电路制造</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〔D4430〕热力生产和供应</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〔C3912〕计算机零部件制造〔C3982〕电子电路制造</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〔D4430〕热力生产和供应</w:t>
            </w:r>
          </w:p>
        </w:tc>
        <w:tc>
          <w:tcPr>
            <w:tcW w:w="12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生产工艺</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电镀铜、化学镍金等</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电镀铜、化学镍金等</w:t>
            </w:r>
          </w:p>
        </w:tc>
        <w:tc>
          <w:tcPr>
            <w:tcW w:w="12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环境保护措施</w:t>
            </w:r>
          </w:p>
        </w:tc>
        <w:tc>
          <w:tcPr>
            <w:tcW w:w="293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污水处理站</w:t>
            </w:r>
          </w:p>
          <w:p>
            <w:pPr>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二级碱喷淋</w:t>
            </w:r>
          </w:p>
          <w:p>
            <w:pPr>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二级酸喷淋</w:t>
            </w:r>
          </w:p>
          <w:p>
            <w:pPr>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二级喷淋吸收氧化</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光催化氧化+活性炭吸附</w:t>
            </w:r>
          </w:p>
        </w:tc>
        <w:tc>
          <w:tcPr>
            <w:tcW w:w="293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污水处理站</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二级碱喷淋</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二级酸喷淋</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二级喷淋吸收氧化</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光催化氧化+活性炭吸附</w:t>
            </w:r>
          </w:p>
        </w:tc>
        <w:tc>
          <w:tcPr>
            <w:tcW w:w="12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不变</w:t>
            </w:r>
          </w:p>
        </w:tc>
      </w:tr>
    </w:tbl>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13" w:name="_Toc9456"/>
      <w:r>
        <w:rPr>
          <w:rFonts w:hint="default" w:ascii="Times New Roman" w:hAnsi="Times New Roman" w:eastAsia="宋体" w:cs="Times New Roman"/>
          <w:color w:val="000000" w:themeColor="text1"/>
          <w:lang w:eastAsia="zh-CN"/>
          <w14:textFill>
            <w14:solidFill>
              <w14:schemeClr w14:val="tx1"/>
            </w14:solidFill>
          </w14:textFill>
        </w:rPr>
        <w:t>1.2 项目建设规模变动情况</w:t>
      </w:r>
      <w:bookmarkEnd w:id="13"/>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1.2.1产品方案变动情况</w:t>
      </w:r>
    </w:p>
    <w:p>
      <w:pPr>
        <w:ind w:firstLine="5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本项目产品方案</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未发生</w:t>
      </w:r>
      <w:r>
        <w:rPr>
          <w:rFonts w:hint="default" w:ascii="Times New Roman" w:hAnsi="Times New Roman" w:eastAsia="宋体" w:cs="Times New Roman"/>
          <w:color w:val="000000" w:themeColor="text1"/>
          <w:highlight w:val="none"/>
          <w:lang w:eastAsia="zh-CN"/>
          <w14:textFill>
            <w14:solidFill>
              <w14:schemeClr w14:val="tx1"/>
            </w14:solidFill>
          </w14:textFill>
        </w:rPr>
        <w:t>改变</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产品种类不变。</w:t>
      </w:r>
    </w:p>
    <w:p>
      <w:pPr>
        <w:ind w:firstLine="56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主要产品生产能力见表1.2-1。</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1"/>
          <w:lang w:eastAsia="zh-CN"/>
          <w14:textFill>
            <w14:solidFill>
              <w14:schemeClr w14:val="tx1"/>
            </w14:solidFill>
          </w14:textFill>
        </w:rPr>
      </w:pPr>
      <w:r>
        <w:rPr>
          <w:rFonts w:hint="default" w:ascii="Times New Roman" w:hAnsi="Times New Roman" w:eastAsia="宋体" w:cs="Times New Roman"/>
          <w:b/>
          <w:bCs/>
          <w:color w:val="000000" w:themeColor="text1"/>
          <w:sz w:val="24"/>
          <w:szCs w:val="21"/>
          <w:lang w:eastAsia="zh-CN"/>
          <w14:textFill>
            <w14:solidFill>
              <w14:schemeClr w14:val="tx1"/>
            </w14:solidFill>
          </w14:textFill>
        </w:rPr>
        <w:t>表1.2-1 项目变更前后主要产品生产能力变化情况</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559"/>
        <w:gridCol w:w="1901"/>
        <w:gridCol w:w="1911"/>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1" w:type="pct"/>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工程名称</w:t>
            </w:r>
          </w:p>
        </w:tc>
        <w:tc>
          <w:tcPr>
            <w:tcW w:w="913" w:type="pct"/>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产品名称</w:t>
            </w:r>
          </w:p>
        </w:tc>
        <w:tc>
          <w:tcPr>
            <w:tcW w:w="1113" w:type="pct"/>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设计能力</w:t>
            </w:r>
          </w:p>
        </w:tc>
        <w:tc>
          <w:tcPr>
            <w:tcW w:w="1119" w:type="pct"/>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生产</w:t>
            </w:r>
            <w:r>
              <w:rPr>
                <w:rFonts w:hint="default" w:ascii="Times New Roman" w:hAnsi="Times New Roman" w:eastAsia="宋体" w:cs="Times New Roman"/>
                <w:b/>
                <w:bCs/>
                <w:color w:val="000000" w:themeColor="text1"/>
                <w:sz w:val="21"/>
                <w:szCs w:val="21"/>
                <w14:textFill>
                  <w14:solidFill>
                    <w14:schemeClr w14:val="tx1"/>
                  </w14:solidFill>
                </w14:textFill>
              </w:rPr>
              <w:t>能力</w:t>
            </w:r>
          </w:p>
        </w:tc>
        <w:tc>
          <w:tcPr>
            <w:tcW w:w="931" w:type="pct"/>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1" w:type="pct"/>
            <w:vMerge w:val="restart"/>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5#车间</w:t>
            </w:r>
          </w:p>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（一期）</w:t>
            </w:r>
          </w:p>
        </w:tc>
        <w:tc>
          <w:tcPr>
            <w:tcW w:w="913" w:type="pct"/>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挠性板</w:t>
            </w:r>
          </w:p>
        </w:tc>
        <w:tc>
          <w:tcPr>
            <w:tcW w:w="1113" w:type="pct"/>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35万m²/年</w:t>
            </w:r>
          </w:p>
        </w:tc>
        <w:tc>
          <w:tcPr>
            <w:tcW w:w="1119" w:type="pct"/>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sz w:val="21"/>
                <w:szCs w:val="21"/>
                <w:lang w:val="en-US" w:eastAsia="zh-CN"/>
              </w:rPr>
              <w:t>17.5万m²/年</w:t>
            </w:r>
          </w:p>
        </w:tc>
        <w:tc>
          <w:tcPr>
            <w:tcW w:w="931" w:type="pct"/>
            <w:vAlign w:val="center"/>
          </w:tcPr>
          <w:p>
            <w:pPr>
              <w:pStyle w:val="3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未建设完全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1" w:type="pct"/>
            <w:vMerge w:val="continue"/>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913" w:type="pct"/>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刚挠结合板</w:t>
            </w:r>
          </w:p>
        </w:tc>
        <w:tc>
          <w:tcPr>
            <w:tcW w:w="1113" w:type="pct"/>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15万m²/年</w:t>
            </w:r>
          </w:p>
        </w:tc>
        <w:tc>
          <w:tcPr>
            <w:tcW w:w="1119" w:type="pct"/>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7.5万m²/年</w:t>
            </w:r>
          </w:p>
        </w:tc>
        <w:tc>
          <w:tcPr>
            <w:tcW w:w="931" w:type="pct"/>
            <w:vAlign w:val="center"/>
          </w:tcPr>
          <w:p>
            <w:pPr>
              <w:pStyle w:val="3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未建设完全</w:t>
            </w:r>
          </w:p>
        </w:tc>
      </w:tr>
    </w:tbl>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1.2.2原辅料变动情况</w:t>
      </w:r>
    </w:p>
    <w:p>
      <w:pPr>
        <w:ind w:firstLine="56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项目项目原辅料及能源消耗情况见表1.2-2、1.2-3。</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1"/>
          <w:lang w:eastAsia="zh-CN"/>
          <w14:textFill>
            <w14:solidFill>
              <w14:schemeClr w14:val="tx1"/>
            </w14:solidFill>
          </w14:textFill>
        </w:rPr>
      </w:pPr>
      <w:r>
        <w:rPr>
          <w:rFonts w:hint="default" w:ascii="Times New Roman" w:hAnsi="Times New Roman" w:eastAsia="宋体" w:cs="Times New Roman"/>
          <w:b/>
          <w:bCs/>
          <w:color w:val="000000" w:themeColor="text1"/>
          <w:sz w:val="24"/>
          <w:szCs w:val="21"/>
          <w:lang w:eastAsia="zh-CN"/>
          <w14:textFill>
            <w14:solidFill>
              <w14:schemeClr w14:val="tx1"/>
            </w14:solidFill>
          </w14:textFill>
        </w:rPr>
        <w:t>表1.2-2 主要原辅料情况</w:t>
      </w:r>
    </w:p>
    <w:tbl>
      <w:tblPr>
        <w:tblStyle w:val="35"/>
        <w:tblW w:w="5111" w:type="pct"/>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0"/>
        <w:gridCol w:w="988"/>
        <w:gridCol w:w="1375"/>
        <w:gridCol w:w="2007"/>
        <w:gridCol w:w="1879"/>
        <w:gridCol w:w="15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387"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117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环评设计年耗量t/a</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实际年耗量t/a</w:t>
            </w:r>
          </w:p>
        </w:tc>
        <w:tc>
          <w:tcPr>
            <w:tcW w:w="88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变化情况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1387" w:type="pct"/>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铜箔</w:t>
            </w:r>
          </w:p>
        </w:tc>
        <w:tc>
          <w:tcPr>
            <w:tcW w:w="117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77.1</w:t>
            </w:r>
          </w:p>
        </w:tc>
        <w:tc>
          <w:tcPr>
            <w:tcW w:w="1103"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38.5</w:t>
            </w:r>
          </w:p>
        </w:tc>
        <w:tc>
          <w:tcPr>
            <w:tcW w:w="884" w:type="pct"/>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未建设完全，折算产能后，等同于未发生变动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PI覆铜板</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153.7</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76.85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1387"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PP板</w:t>
            </w:r>
          </w:p>
        </w:tc>
        <w:tc>
          <w:tcPr>
            <w:tcW w:w="1178"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0.018</w:t>
            </w:r>
          </w:p>
        </w:tc>
        <w:tc>
          <w:tcPr>
            <w:tcW w:w="1103"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0.009</w:t>
            </w:r>
          </w:p>
        </w:tc>
        <w:tc>
          <w:tcPr>
            <w:tcW w:w="8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阻焊油墨</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0.85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抗氧化剂</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0.09</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0.045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氯酸钠</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22</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w:t>
            </w:r>
          </w:p>
        </w:tc>
        <w:tc>
          <w:tcPr>
            <w:tcW w:w="58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硫酸</w:t>
            </w:r>
          </w:p>
        </w:tc>
        <w:tc>
          <w:tcPr>
            <w:tcW w:w="80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工艺用</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100</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8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0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废水处理用</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150</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过硫酸钠</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17.5</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8.75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感光干膜</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30万m²</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活化液</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0.14</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0.07</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11</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氢氧化钾</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3.7</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1.85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12</w:t>
            </w:r>
          </w:p>
        </w:tc>
        <w:tc>
          <w:tcPr>
            <w:tcW w:w="58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氢氧化钠</w:t>
            </w:r>
          </w:p>
        </w:tc>
        <w:tc>
          <w:tcPr>
            <w:tcW w:w="80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工艺用</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250</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125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8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0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废水处理用</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500</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167</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13</w:t>
            </w:r>
          </w:p>
        </w:tc>
        <w:tc>
          <w:tcPr>
            <w:tcW w:w="1387"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除油剂</w:t>
            </w:r>
          </w:p>
        </w:tc>
        <w:tc>
          <w:tcPr>
            <w:tcW w:w="1178"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0.74</w:t>
            </w:r>
          </w:p>
        </w:tc>
        <w:tc>
          <w:tcPr>
            <w:tcW w:w="1103"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0.37</w:t>
            </w:r>
          </w:p>
        </w:tc>
        <w:tc>
          <w:tcPr>
            <w:tcW w:w="8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14</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硝酸</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15.3</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7.65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硫酸铜</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16</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盐酸</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201.2</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100.6</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氰化亚金钾</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0.2</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18</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氯化镍</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1.9</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1.45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19</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碳粉</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活化钯液</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21</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络合剂</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22</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双氧水</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630</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315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23</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还原剂</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24</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酸雾抑制剂</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3kg</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1.5kg</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w:t>
            </w:r>
          </w:p>
        </w:tc>
        <w:tc>
          <w:tcPr>
            <w:tcW w:w="1387"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锡膏</w:t>
            </w:r>
          </w:p>
        </w:tc>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w:t>
            </w:r>
          </w:p>
        </w:tc>
        <w:tc>
          <w:tcPr>
            <w:tcW w:w="110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1.35</w:t>
            </w:r>
          </w:p>
        </w:tc>
        <w:tc>
          <w:tcPr>
            <w:tcW w:w="884"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6"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26</w:t>
            </w:r>
          </w:p>
        </w:tc>
        <w:tc>
          <w:tcPr>
            <w:tcW w:w="1387"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硫化钠（废水处理用）</w:t>
            </w:r>
          </w:p>
        </w:tc>
        <w:tc>
          <w:tcPr>
            <w:tcW w:w="1178"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1103"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w:t>
            </w:r>
          </w:p>
        </w:tc>
        <w:tc>
          <w:tcPr>
            <w:tcW w:w="8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1"/>
          <w:lang w:eastAsia="zh-CN"/>
          <w14:textFill>
            <w14:solidFill>
              <w14:schemeClr w14:val="tx1"/>
            </w14:solidFill>
          </w14:textFill>
        </w:rPr>
      </w:pPr>
      <w:r>
        <w:rPr>
          <w:rFonts w:hint="default" w:ascii="Times New Roman" w:hAnsi="Times New Roman" w:eastAsia="宋体" w:cs="Times New Roman"/>
          <w:b/>
          <w:bCs/>
          <w:color w:val="000000" w:themeColor="text1"/>
          <w:sz w:val="24"/>
          <w:szCs w:val="21"/>
          <w:lang w:eastAsia="zh-CN"/>
          <w14:textFill>
            <w14:solidFill>
              <w14:schemeClr w14:val="tx1"/>
            </w14:solidFill>
          </w14:textFill>
        </w:rPr>
        <w:t>表1.2-3 项目水及能源消耗一览表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2"/>
        <w:gridCol w:w="2089"/>
        <w:gridCol w:w="2075"/>
        <w:gridCol w:w="2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t>名称</w:t>
            </w:r>
          </w:p>
        </w:tc>
        <w:tc>
          <w:tcPr>
            <w:tcW w:w="1223"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t>变动前消耗量</w:t>
            </w:r>
          </w:p>
        </w:tc>
        <w:tc>
          <w:tcPr>
            <w:tcW w:w="1215"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t>变动后消耗量</w:t>
            </w:r>
          </w:p>
        </w:tc>
        <w:tc>
          <w:tcPr>
            <w:tcW w:w="1382"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天然气</w:t>
            </w:r>
          </w:p>
        </w:tc>
        <w:tc>
          <w:tcPr>
            <w:tcW w:w="122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170万m³</w:t>
            </w:r>
          </w:p>
        </w:tc>
        <w:tc>
          <w:tcPr>
            <w:tcW w:w="121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16.7万m³</w:t>
            </w:r>
          </w:p>
        </w:tc>
        <w:tc>
          <w:tcPr>
            <w:tcW w:w="1382"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未建设完全，折算产能后，等同于未发生变动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新鲜水</w:t>
            </w:r>
          </w:p>
        </w:tc>
        <w:tc>
          <w:tcPr>
            <w:tcW w:w="122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308755.54</w:t>
            </w:r>
          </w:p>
        </w:tc>
        <w:tc>
          <w:tcPr>
            <w:tcW w:w="121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146869.02</w:t>
            </w:r>
          </w:p>
        </w:tc>
        <w:tc>
          <w:tcPr>
            <w:tcW w:w="138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电</w:t>
            </w:r>
          </w:p>
        </w:tc>
        <w:tc>
          <w:tcPr>
            <w:tcW w:w="122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3250万kW•h</w:t>
            </w:r>
          </w:p>
        </w:tc>
        <w:tc>
          <w:tcPr>
            <w:tcW w:w="121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492万kW•h</w:t>
            </w:r>
          </w:p>
        </w:tc>
        <w:tc>
          <w:tcPr>
            <w:tcW w:w="138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由于本次仅建设FPC生产线一条，故产品产能、原辅料、能源用量均小于环评设计用量。</w:t>
      </w:r>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1.2.3设备变动情况</w:t>
      </w:r>
    </w:p>
    <w:p>
      <w:pPr>
        <w:ind w:firstLine="56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根据实际统计，现有主要设备变动情况见表1.2-4。</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1"/>
          <w:lang w:eastAsia="zh-CN"/>
          <w14:textFill>
            <w14:solidFill>
              <w14:schemeClr w14:val="tx1"/>
            </w14:solidFill>
          </w14:textFill>
        </w:rPr>
      </w:pPr>
      <w:r>
        <w:rPr>
          <w:rFonts w:hint="default" w:ascii="Times New Roman" w:hAnsi="Times New Roman" w:eastAsia="宋体" w:cs="Times New Roman"/>
          <w:b/>
          <w:bCs/>
          <w:color w:val="000000" w:themeColor="text1"/>
          <w:sz w:val="24"/>
          <w:szCs w:val="21"/>
          <w:lang w:eastAsia="zh-CN"/>
          <w14:textFill>
            <w14:solidFill>
              <w14:schemeClr w14:val="tx1"/>
            </w14:solidFill>
          </w14:textFill>
        </w:rPr>
        <w:t>表1.2-4 项目实际生产设备设置情况</w:t>
      </w:r>
    </w:p>
    <w:tbl>
      <w:tblPr>
        <w:tblStyle w:val="35"/>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6"/>
        <w:gridCol w:w="1201"/>
        <w:gridCol w:w="1485"/>
        <w:gridCol w:w="2694"/>
        <w:gridCol w:w="791"/>
        <w:gridCol w:w="987"/>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序号</w:t>
            </w:r>
          </w:p>
        </w:tc>
        <w:tc>
          <w:tcPr>
            <w:tcW w:w="720"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生产线</w:t>
            </w:r>
          </w:p>
        </w:tc>
        <w:tc>
          <w:tcPr>
            <w:tcW w:w="890"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工段</w:t>
            </w: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设备</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环评设计数量</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实际建设数量</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720" w:type="pct"/>
            <w:vMerge w:val="restar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FPC及刚挠结合板</w:t>
            </w:r>
          </w:p>
        </w:tc>
        <w:tc>
          <w:tcPr>
            <w:tcW w:w="890"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前处理</w:t>
            </w: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FPC前处理线</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72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90" w:type="pct"/>
            <w:vMerge w:val="restar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黑孔</w:t>
            </w: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FPC黑孔线</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3</w:t>
            </w:r>
          </w:p>
        </w:tc>
        <w:tc>
          <w:tcPr>
            <w:tcW w:w="72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9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刚挠结合板黑孔线</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4</w:t>
            </w:r>
          </w:p>
        </w:tc>
        <w:tc>
          <w:tcPr>
            <w:tcW w:w="72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90" w:type="pct"/>
            <w:vMerge w:val="restar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电镀铜</w:t>
            </w: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FPC电镀铜线</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5</w:t>
            </w:r>
          </w:p>
        </w:tc>
        <w:tc>
          <w:tcPr>
            <w:tcW w:w="72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9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刚挠结合板电镀铜线</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6</w:t>
            </w:r>
          </w:p>
        </w:tc>
        <w:tc>
          <w:tcPr>
            <w:tcW w:w="72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90" w:type="pct"/>
            <w:vMerge w:val="restar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显影及蚀刻</w:t>
            </w: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FPC显影及蚀刻线</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7</w:t>
            </w:r>
          </w:p>
        </w:tc>
        <w:tc>
          <w:tcPr>
            <w:tcW w:w="72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9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刚挠结合板显影及蚀刻线</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8</w:t>
            </w:r>
          </w:p>
        </w:tc>
        <w:tc>
          <w:tcPr>
            <w:tcW w:w="72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90"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化镍金</w:t>
            </w: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刚挠结合板化镍金线</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9</w:t>
            </w:r>
          </w:p>
        </w:tc>
        <w:tc>
          <w:tcPr>
            <w:tcW w:w="720" w:type="pct"/>
            <w:vMerge w:val="continue"/>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90"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OSP</w:t>
            </w: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刚挠结合板OSP线</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10</w:t>
            </w:r>
          </w:p>
        </w:tc>
        <w:tc>
          <w:tcPr>
            <w:tcW w:w="720"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供热系统</w:t>
            </w:r>
          </w:p>
        </w:tc>
        <w:tc>
          <w:tcPr>
            <w:tcW w:w="890"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供热</w:t>
            </w:r>
          </w:p>
        </w:tc>
        <w:tc>
          <w:tcPr>
            <w:tcW w:w="1615"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导热油炉</w:t>
            </w:r>
          </w:p>
        </w:tc>
        <w:tc>
          <w:tcPr>
            <w:tcW w:w="474"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592"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431" w:type="pct"/>
            <w:vAlign w:val="center"/>
          </w:tcPr>
          <w:p>
            <w:pPr>
              <w:pStyle w:val="29"/>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套</w:t>
            </w:r>
          </w:p>
        </w:tc>
      </w:tr>
    </w:tbl>
    <w:p>
      <w:pPr>
        <w:ind w:firstLine="562"/>
        <w:jc w:val="both"/>
        <w:rPr>
          <w:rFonts w:hint="default"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虽实际建设过程中主要生产设备数量、原辅材料用量与环评设计不一致，单折算产能后，等同于未发生变化。</w:t>
      </w:r>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1.2.4 公辅工程变动情况</w:t>
      </w:r>
    </w:p>
    <w:p>
      <w:pPr>
        <w:ind w:firstLine="56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根据实际统计，项目主体工程及公辅工程情况见表1.2-5。</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4"/>
          <w:szCs w:val="21"/>
          <w:lang w:eastAsia="zh-CN"/>
          <w14:textFill>
            <w14:solidFill>
              <w14:schemeClr w14:val="tx1"/>
            </w14:solidFill>
          </w14:textFill>
        </w:rPr>
      </w:pPr>
      <w:r>
        <w:rPr>
          <w:rFonts w:hint="default" w:ascii="Times New Roman" w:hAnsi="Times New Roman" w:eastAsia="宋体" w:cs="Times New Roman"/>
          <w:b/>
          <w:bCs/>
          <w:color w:val="000000" w:themeColor="text1"/>
          <w:sz w:val="24"/>
          <w:szCs w:val="21"/>
          <w:lang w:eastAsia="zh-CN"/>
          <w14:textFill>
            <w14:solidFill>
              <w14:schemeClr w14:val="tx1"/>
            </w14:solidFill>
          </w14:textFill>
        </w:rPr>
        <w:t>表1.2-5 项目变更前后主体工程及公辅工程情况</w:t>
      </w:r>
    </w:p>
    <w:tbl>
      <w:tblPr>
        <w:tblStyle w:val="35"/>
        <w:tblW w:w="50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6"/>
        <w:gridCol w:w="1158"/>
        <w:gridCol w:w="3410"/>
        <w:gridCol w:w="3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类别</w:t>
            </w: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建设名称</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设计建设内容及能力</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实际建设内容及能力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生产</w:t>
            </w: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1#~3#车间</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各车间建筑面积13800m²，每个车间布置一条电脑键盘生产线（产能均相同，总产能5000万套/年）</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车间已建设完毕，各车间建筑面积13800m²，其中2#车间1F租予东台铜泽金属科技有限公司，其余未投入使用，不在本次验收范围之内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5#车间</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车间建筑面积13800m³，设置一条FPC生产线及一条刚挠结合板生产线（年产FPC35万m²/a、刚挠结合板15万m²/a）</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车间建筑面积13800m</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³</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，设置一条FPC生产线及一条刚挠结合板生产线</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年产FPC</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17.5</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万m²/a、刚挠结合板</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7.5</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万m²/a</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4#、6#~8#车间</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预留车间</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预留车间，4#车间已建设完毕，未投入使用；6#、7#、8#车间尚未建设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贮运工程</w:t>
            </w: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仓库</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键盘原料仓库，面积500m²</w:t>
            </w:r>
          </w:p>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印制电路板原料仓库，面积500m²</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①已建设印制电路板原料仓库，位于5#车间1F，面积500m²</w:t>
            </w:r>
          </w:p>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highlight w:val="yellow"/>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②已建设危化品仓库，位于4#车间北侧，面积250m²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公用工程</w:t>
            </w:r>
          </w:p>
        </w:tc>
        <w:tc>
          <w:tcPr>
            <w:tcW w:w="685" w:type="pct"/>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给、排水</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新鲜水由主城区自来水厂供水，纯水由厂内自制；废水由厂内污水站预处理后接管至东台市城东污水处理厂；雨污分流、污污分流</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新鲜水由主城区自来水厂供水，纯水由厂内自制；废水由厂内污水站预处理后接管至东台市城东污水处理厂；雨污分流、污污分流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废水排放量为一期211430.58m³/a（704.77m³/d）</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5月排水2260m³，6月排水3387m³，折算后废水排放量为91502.64m³/a（305m³/d）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供电</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由110kV变电站引入园区10kV开闭所内</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由110kV变电站引入园区10kV开闭所内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一期年用电量约为3250万kW•h</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年用电量约为</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492</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供热</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建设1台4.7MW（6.7t/h）天然气导热油炉</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建设1台4.7MW（6.7t/h）天然气导热油炉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环保工程</w:t>
            </w: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废气处理</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①1#~3#排气筒：分别排放1#、2#及3#车间电脑键盘生产线经各自“一级滤筒袋式除尘预处理+RTO废气处理系统+冷却+活性炭处理”装置处理后的颗粒物及VOCs（含甲醛、甲苯、二甲苯、苯乙烯及丙酮等）；</w:t>
            </w:r>
          </w:p>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②4#排气筒：排放经“二级碱喷淋”处理后的印制电路板（FPC及刚挠结合板）生产线（开料、微蚀、抗氧化、除油、电镀铜、酸洗、预浸）产生的颗粒物、硫酸雾、醋酸雾、氯化氢及硝酸雾（以氮氧化物表征）及罐区产生的氯化氢、硫酸雾；</w:t>
            </w:r>
          </w:p>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③5#排气筒：排放经“二级酸喷淋”处理后的化学镀镍工段产生的氨气；</w:t>
            </w:r>
          </w:p>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④6#排气筒：排放经“二级喷淋塔吸收氧化”处理后的化学镍金工段产生的氢氰酸；</w:t>
            </w:r>
          </w:p>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⑤7#排气筒：排放经“光催化氧化+活性炭吸附”处理后的印制电路板（FPC及刚挠结合板）生产线（丝网印刷、回流焊接）产生的VOCs；</w:t>
            </w:r>
          </w:p>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⑥8#排气筒：排放导热油路燃烧废气。</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①暂未建设，不在本次验收范围之内。</w:t>
            </w:r>
          </w:p>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②已建设。“开料、微蚀、抗氧 化、除油、电镀铜、酸洗、预浸、污水站储罐”产生的废气经“二级碱喷淋”处理后通过25米高排气筒排放。</w:t>
            </w:r>
          </w:p>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③已建设。“化学镍金”产生的氨气经“二级酸喷淋”处理后通过25米高排气筒排放。</w:t>
            </w:r>
          </w:p>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④已建设。“化学镍金”产生的氢氰酸经“二级喷淋塔吸收氧化”处理后通过25米高排气筒排放。</w:t>
            </w:r>
          </w:p>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⑤已建设。“丝网印刷、回流焊接”产色的有机废气经“光催化氧化+活性炭吸附”处理后通过33米高排气筒排放。</w:t>
            </w:r>
          </w:p>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⑥已建设。锅炉燃烧废气经22米高排气筒直接排放，导热油炉已配备低氮燃烧器。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废水处理</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废水分质处理且处理设施均在一期全部建成，本项目一期建设6个废水/废液处理系统：一般清洗废水处理系统（含回用水系统，设计能力1200m³/d）、含镍清洗废水处理系统（设计能力10m³/d）、含氰清洗废水处理系统（设计能力10m³/d）、有机清洗废水处理系统（设计能力1500m³/d）、含铜清洗废水处理系统（设计能力40m³/d）和碱性、酸性、显影及微蚀废液处理系统（设计能力220m3/d）；设污水接管口一个及雨水排口两个</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已建设。本项目废水分质处理设施已建设，包含一般清洗废水处理系统（含回用水系统，设计能力1200m³/d）、含镍清洗废水处理系统（设计能力10m³/d）、含氰清洗废水处理系统（设计能力10m³/d）、有机清洗废水处理系统（设计能力1500m³/d）、含铜清洗废水处理系统（设计能力40m³/d）和碱性、酸性、显影及微蚀废液处理系统（设计能力220m³/d）；设污水接管口一个</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及雨水排口两个。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固废处理</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本项目设置危废仓库一座（250m²），临时存放废活性炭、废油墨等；建设一座面积为120m²的污泥仓库，用于存放污水处理站污泥，污泥仓库建设按照危险废弃物暂存场所规范建设；设置一般固废仓库一座（20m²），生产过程中产生的电解铜等一般固废存放于一般固废仓库；生活垃圾由环卫部门收集处理</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已建设。本项目设置危废仓库两座。一座建筑面积为250m²，用于贮存废活性炭、废油墨等危险废物；另一座建筑面积为120m²，用于存放污水处理站污泥。危废仓库建设符合相关规范要求。本项目设置固废仓库一座，建筑面积为20m²。生活垃圾由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噪声治理</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在设备选型时选择低噪声设备，同时采用厂房隔声、减噪、加消声罩（器）、防震垫等措施进行降噪</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已建设。本项目在设备选型时选择低噪声设备，同时采用厂房隔声、减噪、加消声罩（器）、防震垫等措施进行降噪。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6" w:type="pct"/>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85"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事故池</w:t>
            </w:r>
          </w:p>
        </w:tc>
        <w:tc>
          <w:tcPr>
            <w:tcW w:w="2018" w:type="pct"/>
            <w:vAlign w:val="center"/>
          </w:tcPr>
          <w:p>
            <w:pPr>
              <w:pStyle w:val="29"/>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厂内设置一个1000m³的事故池</w:t>
            </w:r>
          </w:p>
        </w:tc>
        <w:tc>
          <w:tcPr>
            <w:tcW w:w="2018" w:type="pct"/>
            <w:vAlign w:val="center"/>
          </w:tcPr>
          <w:p>
            <w:pPr>
              <w:pStyle w:val="7"/>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本项目生产区域内已建设一座事故应急池，容积为450m³；生活区喷泉水池作为备用应急池，容积为450m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，配备应急泵3台，可在半小时内清空做为应急池使用。</w:t>
            </w:r>
          </w:p>
        </w:tc>
      </w:tr>
    </w:tbl>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14" w:name="_Toc11540"/>
      <w:r>
        <w:rPr>
          <w:rFonts w:hint="default" w:ascii="Times New Roman" w:hAnsi="Times New Roman" w:eastAsia="宋体" w:cs="Times New Roman"/>
          <w:color w:val="000000" w:themeColor="text1"/>
          <w:lang w:eastAsia="zh-CN"/>
          <w14:textFill>
            <w14:solidFill>
              <w14:schemeClr w14:val="tx1"/>
            </w14:solidFill>
          </w14:textFill>
        </w:rPr>
        <w:t>1.3 地理位置及平面布置变动情况</w:t>
      </w:r>
      <w:bookmarkEnd w:id="14"/>
    </w:p>
    <w:p>
      <w:pPr>
        <w:keepNext w:val="0"/>
        <w:keepLines w:val="0"/>
        <w:pageBreakBefore w:val="0"/>
        <w:widowControl w:val="0"/>
        <w:kinsoku/>
        <w:wordWrap w:val="0"/>
        <w:overflowPunct/>
        <w:topLinePunct w:val="0"/>
        <w:autoSpaceDE/>
        <w:autoSpaceDN/>
        <w:bidi w:val="0"/>
        <w:adjustRightInd/>
        <w:snapToGrid/>
        <w:ind w:firstLine="56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喜锐公司位于东台市经济开发区红星河路西侧，东区五路北侧，根据现场勘查，项目西侧为江苏广谦电子有限公司，北侧为江苏华东造纸机械有限公司、东侧为领胜城科技（江苏）有限公司，南侧为空地。</w:t>
      </w:r>
    </w:p>
    <w:p>
      <w:pPr>
        <w:keepNext w:val="0"/>
        <w:keepLines w:val="0"/>
        <w:pageBreakBefore w:val="0"/>
        <w:widowControl w:val="0"/>
        <w:kinsoku/>
        <w:wordWrap w:val="0"/>
        <w:overflowPunct/>
        <w:topLinePunct w:val="0"/>
        <w:autoSpaceDE/>
        <w:autoSpaceDN/>
        <w:bidi w:val="0"/>
        <w:adjustRightInd/>
        <w:snapToGrid/>
        <w:ind w:firstLine="56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生产经营场所中心经纬度为：东经120°22′10.38266″，北纬,32°52′50.75166″。本项目已建设5栋厂房、1栋办公用楼、1栋锅炉用房、1栋辅助用房、1栋污水处理站、1栋综合楼、2栋倒班公寓，其中1#、4#厂房空置；2#厂房1楼租赁给东台铜泽金属科技有限公司，其余楼层空置；3#车间拟做为薄膜按键开关生产车间，正在建设生产线中；5#车间为印制电路板（FPC及刚挠结合板）生产车间（本次验收）；5#车间外北侧设置污水处理站、事故池、配电间、危化品仓库、危险废物暂存仓库等设施。</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变更前，厂内平面布置见图1.3-1。</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变更后，厂内平面布置见图1.3-2。</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变更后厂区卫生防护距离及周边概况见图1.3-3。</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sectPr>
          <w:footerReference r:id="rId8" w:type="default"/>
          <w:pgSz w:w="11920" w:h="16840"/>
          <w:pgMar w:top="1440" w:right="1800" w:bottom="1440" w:left="1800" w:header="0" w:footer="997" w:gutter="0"/>
          <w:pgBorders>
            <w:top w:val="none" w:sz="0" w:space="0"/>
            <w:left w:val="none" w:sz="0" w:space="0"/>
            <w:bottom w:val="none" w:sz="0" w:space="0"/>
            <w:right w:val="none" w:sz="0" w:space="0"/>
          </w:pgBorders>
          <w:pgNumType w:start="1"/>
          <w:cols w:space="720" w:num="1"/>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D8C2"/>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D8C2"/>
          <w:tblCellMar>
            <w:top w:w="0" w:type="dxa"/>
            <w:left w:w="108" w:type="dxa"/>
            <w:bottom w:w="0" w:type="dxa"/>
            <w:right w:w="108" w:type="dxa"/>
          </w:tblCellMar>
        </w:tblPrEx>
        <w:trPr>
          <w:trHeight w:val="6305" w:hRule="atLeast"/>
          <w:jc w:val="center"/>
        </w:trPr>
        <w:tc>
          <w:tcPr>
            <w:tcW w:w="1417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drawing>
                <wp:inline distT="0" distB="0" distL="114300" distR="114300">
                  <wp:extent cx="8750935" cy="5039995"/>
                  <wp:effectExtent l="0" t="0" r="12065" b="825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2"/>
                          <a:stretch>
                            <a:fillRect/>
                          </a:stretch>
                        </pic:blipFill>
                        <pic:spPr>
                          <a:xfrm>
                            <a:off x="0" y="0"/>
                            <a:ext cx="8750935" cy="50399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4" w:type="dxa"/>
            <w:shd w:val="clear" w:color="auto" w:fill="DCD8C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560"/>
              <w:jc w:val="center"/>
              <w:textAlignment w:val="auto"/>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图1.3-1  变更前厂内平面布置</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图</w:t>
            </w:r>
          </w:p>
        </w:tc>
      </w:tr>
    </w:tbl>
    <w:p>
      <w:pPr>
        <w:pStyle w:val="16"/>
        <w:jc w:val="center"/>
        <w:rPr>
          <w:rFonts w:hint="default" w:ascii="Times New Roman" w:hAnsi="Times New Roman" w:eastAsia="宋体" w:cs="Times New Roman"/>
          <w:b w:val="0"/>
          <w:bCs/>
          <w:color w:val="000000" w:themeColor="text1"/>
          <w:sz w:val="28"/>
          <w:szCs w:val="22"/>
          <w14:textFill>
            <w14:solidFill>
              <w14:schemeClr w14:val="tx1"/>
            </w14:solidFill>
          </w14:textFill>
        </w:rPr>
        <w:sectPr>
          <w:pgSz w:w="16840" w:h="11920" w:orient="landscape"/>
          <w:pgMar w:top="1800" w:right="1440" w:bottom="1800" w:left="1440" w:header="0" w:footer="997" w:gutter="0"/>
          <w:pgBorders>
            <w:top w:val="none" w:sz="0" w:space="0"/>
            <w:left w:val="none" w:sz="0" w:space="0"/>
            <w:bottom w:val="none" w:sz="0" w:space="0"/>
            <w:right w:val="none" w:sz="0" w:space="0"/>
          </w:pgBorders>
          <w:cols w:space="720" w:num="1"/>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D8C2"/>
        <w:tblLayout w:type="autofit"/>
        <w:tblCellMar>
          <w:top w:w="0" w:type="dxa"/>
          <w:left w:w="108" w:type="dxa"/>
          <w:bottom w:w="0" w:type="dxa"/>
          <w:right w:w="108" w:type="dxa"/>
        </w:tblCellMar>
      </w:tblPr>
      <w:tblGrid>
        <w:gridCol w:w="1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D8C2"/>
          <w:tblCellMar>
            <w:top w:w="0" w:type="dxa"/>
            <w:left w:w="108" w:type="dxa"/>
            <w:bottom w:w="0" w:type="dxa"/>
            <w:right w:w="108" w:type="dxa"/>
          </w:tblCellMar>
        </w:tblPrEx>
        <w:trPr>
          <w:trHeight w:val="7704" w:hRule="atLeast"/>
          <w:jc w:val="center"/>
        </w:trPr>
        <w:tc>
          <w:tcPr>
            <w:tcW w:w="13876" w:type="dxa"/>
            <w:shd w:val="clear" w:color="auto" w:fill="auto"/>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drawing>
                <wp:inline distT="0" distB="0" distL="114300" distR="114300">
                  <wp:extent cx="5137785" cy="5039995"/>
                  <wp:effectExtent l="0" t="0" r="5715" b="8255"/>
                  <wp:docPr id="22" name="图片 22" descr="平面布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平面布置图_00"/>
                          <pic:cNvPicPr>
                            <a:picLocks noChangeAspect="1"/>
                          </pic:cNvPicPr>
                        </pic:nvPicPr>
                        <pic:blipFill>
                          <a:blip r:embed="rId13"/>
                          <a:stretch>
                            <a:fillRect/>
                          </a:stretch>
                        </pic:blipFill>
                        <pic:spPr>
                          <a:xfrm>
                            <a:off x="0" y="0"/>
                            <a:ext cx="5137785" cy="50399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D8C2"/>
          <w:tblCellMar>
            <w:top w:w="0" w:type="dxa"/>
            <w:left w:w="108" w:type="dxa"/>
            <w:bottom w:w="0" w:type="dxa"/>
            <w:right w:w="108" w:type="dxa"/>
          </w:tblCellMar>
        </w:tblPrEx>
        <w:trPr>
          <w:jc w:val="center"/>
        </w:trPr>
        <w:tc>
          <w:tcPr>
            <w:tcW w:w="13876" w:type="dxa"/>
            <w:shd w:val="clear" w:color="auto" w:fill="DCD8C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560"/>
              <w:jc w:val="center"/>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图1.3-2变更后厂区</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D8C2"/>
          <w:tblCellMar>
            <w:top w:w="0" w:type="dxa"/>
            <w:left w:w="108" w:type="dxa"/>
            <w:bottom w:w="0" w:type="dxa"/>
            <w:right w:w="108" w:type="dxa"/>
          </w:tblCellMar>
        </w:tblPrEx>
        <w:trPr>
          <w:trHeight w:val="7704" w:hRule="atLeast"/>
          <w:jc w:val="center"/>
        </w:trPr>
        <w:tc>
          <w:tcPr>
            <w:tcW w:w="13876" w:type="dxa"/>
            <w:shd w:val="clear" w:color="auto" w:fill="auto"/>
            <w:noWrap w:val="0"/>
            <w:vAlign w:val="center"/>
          </w:tcPr>
          <w:p>
            <w:pPr>
              <w:pStyle w:val="7"/>
              <w:ind w:left="0" w:leftChars="0" w:firstLine="0" w:firstLineChars="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drawing>
                <wp:inline distT="0" distB="0" distL="114300" distR="114300">
                  <wp:extent cx="7952740" cy="4356100"/>
                  <wp:effectExtent l="0" t="0" r="10160" b="6350"/>
                  <wp:docPr id="2" name="图片 2" descr="提取自8、附件附图（缺营业执照、危废协议不全）(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提取自8、附件附图（缺营业执照、危废协议不全）(1)_00"/>
                          <pic:cNvPicPr>
                            <a:picLocks noChangeAspect="1"/>
                          </pic:cNvPicPr>
                        </pic:nvPicPr>
                        <pic:blipFill>
                          <a:blip r:embed="rId14"/>
                          <a:srcRect l="7214" t="12091" r="7095" b="21514"/>
                          <a:stretch>
                            <a:fillRect/>
                          </a:stretch>
                        </pic:blipFill>
                        <pic:spPr>
                          <a:xfrm>
                            <a:off x="0" y="0"/>
                            <a:ext cx="7952740" cy="4356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D8C2"/>
          <w:tblCellMar>
            <w:top w:w="0" w:type="dxa"/>
            <w:left w:w="108" w:type="dxa"/>
            <w:bottom w:w="0" w:type="dxa"/>
            <w:right w:w="108" w:type="dxa"/>
          </w:tblCellMar>
        </w:tblPrEx>
        <w:trPr>
          <w:jc w:val="center"/>
        </w:trPr>
        <w:tc>
          <w:tcPr>
            <w:tcW w:w="13876" w:type="dxa"/>
            <w:shd w:val="clear" w:color="auto" w:fill="DCD8C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560"/>
              <w:jc w:val="center"/>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图1.3-3变更后厂区周边概况</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图</w:t>
            </w:r>
          </w:p>
        </w:tc>
      </w:tr>
    </w:tbl>
    <w:p>
      <w:pPr>
        <w:pStyle w:val="16"/>
        <w:jc w:val="center"/>
        <w:rPr>
          <w:rFonts w:hint="default" w:ascii="Times New Roman" w:hAnsi="Times New Roman" w:eastAsia="宋体" w:cs="Times New Roman"/>
          <w:b w:val="0"/>
          <w:bCs/>
          <w:color w:val="000000" w:themeColor="text1"/>
          <w:sz w:val="28"/>
          <w:szCs w:val="22"/>
          <w14:textFill>
            <w14:solidFill>
              <w14:schemeClr w14:val="tx1"/>
            </w14:solidFill>
          </w14:textFill>
        </w:rPr>
        <w:sectPr>
          <w:pgSz w:w="16840" w:h="11920" w:orient="landscape"/>
          <w:pgMar w:top="1800" w:right="1440" w:bottom="1800" w:left="1440" w:header="0" w:footer="997"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val="0"/>
        <w:autoSpaceDE/>
        <w:autoSpaceDN/>
        <w:bidi w:val="0"/>
        <w:adjustRightInd/>
        <w:snapToGrid/>
        <w:ind w:firstLine="56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现按企业实际建设布置，建筑面积</w:t>
      </w:r>
      <w:r>
        <w:rPr>
          <w:rFonts w:hint="eastAsia" w:ascii="Times New Roman" w:hAnsi="Times New Roman" w:eastAsia="宋体" w:cs="Times New Roman"/>
          <w:color w:val="000000" w:themeColor="text1"/>
          <w:lang w:val="en-US" w:eastAsia="zh-CN"/>
          <w14:textFill>
            <w14:solidFill>
              <w14:schemeClr w14:val="tx1"/>
            </w14:solidFill>
          </w14:textFill>
        </w:rPr>
        <w:t>未发生变化</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建筑物位置未发生变化。根据环评及批复要求，企业应本项目以1#~3#、5#车间边界及污水处理站边界各设置100m卫生防护距离，目前卫生防护距离内无敏感目标，</w:t>
      </w:r>
      <w:r>
        <w:rPr>
          <w:rFonts w:hint="default" w:ascii="Times New Roman" w:hAnsi="Times New Roman" w:eastAsia="宋体" w:cs="Times New Roman"/>
          <w:color w:val="000000" w:themeColor="text1"/>
          <w:lang w:eastAsia="zh-CN"/>
          <w14:textFill>
            <w14:solidFill>
              <w14:schemeClr w14:val="tx1"/>
            </w14:solidFill>
          </w14:textFill>
        </w:rPr>
        <w:t>对环境未造成影响。</w:t>
      </w:r>
    </w:p>
    <w:p>
      <w:pPr>
        <w:ind w:firstLine="560"/>
        <w:rPr>
          <w:rFonts w:hint="default" w:ascii="Times New Roman" w:hAnsi="Times New Roman" w:eastAsia="宋体" w:cs="Times New Roman"/>
          <w:b/>
          <w:color w:val="000000" w:themeColor="text1"/>
          <w:sz w:val="32"/>
          <w:szCs w:val="2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22"/>
          <w:lang w:val="en-US" w:eastAsia="zh-CN" w:bidi="ar-SA"/>
          <w14:textFill>
            <w14:solidFill>
              <w14:schemeClr w14:val="tx1"/>
            </w14:solidFill>
          </w14:textFill>
        </w:rPr>
        <w:t>1.4项目生产工艺变动情况</w:t>
      </w:r>
    </w:p>
    <w:p>
      <w:pPr>
        <w:ind w:firstLine="560"/>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本项目FPC生产线的工艺流程未发生变化。</w:t>
      </w:r>
    </w:p>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15" w:name="_Toc5391"/>
      <w:r>
        <w:rPr>
          <w:rFonts w:hint="default" w:ascii="Times New Roman" w:hAnsi="Times New Roman" w:eastAsia="宋体" w:cs="Times New Roman"/>
          <w:color w:val="000000" w:themeColor="text1"/>
          <w:lang w:eastAsia="zh-CN"/>
          <w14:textFill>
            <w14:solidFill>
              <w14:schemeClr w14:val="tx1"/>
            </w14:solidFill>
          </w14:textFill>
        </w:rPr>
        <w:t>1.5环保措施变动情况</w:t>
      </w:r>
      <w:bookmarkEnd w:id="15"/>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1.5.1废气环保措施变动情况</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本项目废</w:t>
      </w:r>
      <w:r>
        <w:rPr>
          <w:rFonts w:hint="eastAsia" w:ascii="Times New Roman" w:hAnsi="Times New Roman" w:eastAsia="宋体" w:cs="Times New Roman"/>
          <w:color w:val="000000" w:themeColor="text1"/>
          <w:lang w:val="en-US" w:eastAsia="zh-CN"/>
          <w14:textFill>
            <w14:solidFill>
              <w14:schemeClr w14:val="tx1"/>
            </w14:solidFill>
          </w14:textFill>
        </w:rPr>
        <w:t>气</w:t>
      </w:r>
      <w:r>
        <w:rPr>
          <w:rFonts w:hint="default" w:ascii="Times New Roman" w:hAnsi="Times New Roman" w:eastAsia="宋体" w:cs="Times New Roman"/>
          <w:color w:val="000000" w:themeColor="text1"/>
          <w:lang w:val="en-US" w:eastAsia="zh-CN"/>
          <w14:textFill>
            <w14:solidFill>
              <w14:schemeClr w14:val="tx1"/>
            </w14:solidFill>
          </w14:textFill>
        </w:rPr>
        <w:t>环保措施未发生变动。</w:t>
      </w:r>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1.5.2废水环保措施变动情况</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本项目废水环保措施未发生变动。</w:t>
      </w:r>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1.5.3固废环保措施变动情况</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w:t>
      </w:r>
      <w:r>
        <w:rPr>
          <w:rFonts w:hint="eastAsia" w:ascii="Times New Roman" w:hAnsi="Times New Roman" w:eastAsia="宋体" w:cs="Times New Roman"/>
          <w:color w:val="000000" w:themeColor="text1"/>
          <w:lang w:val="en-US" w:eastAsia="zh-CN"/>
          <w14:textFill>
            <w14:solidFill>
              <w14:schemeClr w14:val="tx1"/>
            </w14:solidFill>
          </w14:textFill>
        </w:rPr>
        <w:t>固废</w:t>
      </w:r>
      <w:r>
        <w:rPr>
          <w:rFonts w:hint="default" w:ascii="Times New Roman" w:hAnsi="Times New Roman" w:eastAsia="宋体" w:cs="Times New Roman"/>
          <w:color w:val="000000" w:themeColor="text1"/>
          <w:lang w:val="en-US" w:eastAsia="zh-CN"/>
          <w14:textFill>
            <w14:solidFill>
              <w14:schemeClr w14:val="tx1"/>
            </w14:solidFill>
          </w14:textFill>
        </w:rPr>
        <w:t>环保措施未发生变动。</w:t>
      </w:r>
    </w:p>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16" w:name="_Toc16985"/>
      <w:r>
        <w:rPr>
          <w:rFonts w:hint="default" w:ascii="Times New Roman" w:hAnsi="Times New Roman" w:eastAsia="宋体" w:cs="Times New Roman"/>
          <w:color w:val="000000" w:themeColor="text1"/>
          <w:lang w:eastAsia="zh-CN"/>
          <w14:textFill>
            <w14:solidFill>
              <w14:schemeClr w14:val="tx1"/>
            </w14:solidFill>
          </w14:textFill>
        </w:rPr>
        <w:t>1.6排污口变动情况</w:t>
      </w:r>
      <w:bookmarkEnd w:id="16"/>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w:t>
      </w:r>
      <w:r>
        <w:rPr>
          <w:rFonts w:hint="eastAsia" w:ascii="Times New Roman" w:hAnsi="Times New Roman" w:eastAsia="宋体" w:cs="Times New Roman"/>
          <w:color w:val="000000" w:themeColor="text1"/>
          <w:lang w:val="en-US" w:eastAsia="zh-CN"/>
          <w14:textFill>
            <w14:solidFill>
              <w14:schemeClr w14:val="tx1"/>
            </w14:solidFill>
          </w14:textFill>
        </w:rPr>
        <w:t>排污口数量及种类</w:t>
      </w:r>
      <w:r>
        <w:rPr>
          <w:rFonts w:hint="default" w:ascii="Times New Roman" w:hAnsi="Times New Roman" w:eastAsia="宋体" w:cs="Times New Roman"/>
          <w:color w:val="000000" w:themeColor="text1"/>
          <w:lang w:val="en-US" w:eastAsia="zh-CN"/>
          <w14:textFill>
            <w14:solidFill>
              <w14:schemeClr w14:val="tx1"/>
            </w14:solidFill>
          </w14:textFill>
        </w:rPr>
        <w:t>未发生变动。</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sectPr>
          <w:footerReference r:id="rId9" w:type="default"/>
          <w:pgSz w:w="11920" w:h="16840"/>
          <w:pgMar w:top="1440" w:right="1800" w:bottom="1440" w:left="1800" w:header="0" w:footer="997" w:gutter="0"/>
          <w:pgBorders>
            <w:top w:val="none" w:sz="0" w:space="0"/>
            <w:left w:val="none" w:sz="0" w:space="0"/>
            <w:bottom w:val="none" w:sz="0" w:space="0"/>
            <w:right w:val="none" w:sz="0" w:space="0"/>
          </w:pgBorders>
          <w:cols w:space="720" w:num="1"/>
        </w:sectPr>
      </w:pPr>
    </w:p>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17" w:name="_Toc6010"/>
      <w:r>
        <w:rPr>
          <w:rFonts w:hint="default" w:ascii="Times New Roman" w:hAnsi="Times New Roman" w:eastAsia="宋体" w:cs="Times New Roman"/>
          <w:color w:val="000000" w:themeColor="text1"/>
          <w:lang w:eastAsia="zh-CN"/>
          <w14:textFill>
            <w14:solidFill>
              <w14:schemeClr w14:val="tx1"/>
            </w14:solidFill>
          </w14:textFill>
        </w:rPr>
        <w:t>1.7与环办环评函〔2020﹞688 号文对比分析</w:t>
      </w:r>
      <w:bookmarkEnd w:id="17"/>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本项目为新建项目，建设项目的性质、规模、地点、生产工艺和环境保护措施，经与《污染影响类建设项目重大变动清单（试行）》（环办环评函[2020]688号）对比，本项目不属于重大变动，详见表1.7-1。</w:t>
      </w:r>
    </w:p>
    <w:p>
      <w:pPr>
        <w:pStyle w:val="14"/>
        <w:keepNext w:val="0"/>
        <w:keepLines w:val="0"/>
        <w:pageBreakBefore w:val="0"/>
        <w:widowControl w:val="0"/>
        <w:kinsoku/>
        <w:wordWrap/>
        <w:overflowPunct/>
        <w:topLinePunct w:val="0"/>
        <w:autoSpaceDE/>
        <w:autoSpaceDN/>
        <w:bidi w:val="0"/>
        <w:adjustRightInd/>
        <w:snapToGrid w:val="0"/>
        <w:spacing w:beforeAutospacing="0" w:after="0" w:afterAutospacing="0" w:line="24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表1.7-1与（环办环评函[2020]688号）对比</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4105"/>
        <w:gridCol w:w="2450"/>
        <w:gridCol w:w="2450"/>
        <w:gridCol w:w="1724"/>
        <w:gridCol w:w="185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2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20"/>
                <w:sz w:val="21"/>
                <w:szCs w:val="21"/>
                <w:lang w:eastAsia="zh-CN"/>
                <w14:textFill>
                  <w14:solidFill>
                    <w14:schemeClr w14:val="tx1"/>
                  </w14:solidFill>
                </w14:textFill>
              </w:rPr>
              <w:t>类别</w:t>
            </w: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2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20"/>
                <w:sz w:val="21"/>
                <w:szCs w:val="21"/>
                <w:lang w:eastAsia="zh-CN"/>
                <w14:textFill>
                  <w14:solidFill>
                    <w14:schemeClr w14:val="tx1"/>
                  </w14:solidFill>
                </w14:textFill>
              </w:rPr>
              <w:t>内容</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t>环评内容</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t>实际建设内容</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t>变动内容</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t>变动原因</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0"/>
                <w:sz w:val="21"/>
                <w:szCs w:val="21"/>
                <w:lang w:val="en-US" w:eastAsia="zh-CN"/>
                <w14:textFill>
                  <w14:solidFill>
                    <w14:schemeClr w14:val="tx1"/>
                  </w14:solidFill>
                </w14:textFill>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性质</w:t>
            </w: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1.建设项目开发、使用功能发生变化的。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工业用地，进行FPC（挠性板）、刚挠结合板、电脑键盘的生产</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工业用地，进行FPC（挠性板）、刚挠结合板</w:t>
            </w: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的生产</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变动</w:t>
            </w:r>
          </w:p>
        </w:tc>
        <w:tc>
          <w:tcPr>
            <w:tcW w:w="65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生产线未建设完全</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规模</w:t>
            </w: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2.生产、处置或储存能力增大30%及以上的。</w:t>
            </w:r>
          </w:p>
        </w:tc>
        <w:tc>
          <w:tcPr>
            <w:tcW w:w="86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年产</w:t>
            </w: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电脑键盘5000套、挠性板63万m²、刚挠结合板27万m²</w:t>
            </w:r>
          </w:p>
        </w:tc>
        <w:tc>
          <w:tcPr>
            <w:tcW w:w="86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年产挠性板</w:t>
            </w: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17.5</w:t>
            </w: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万m²、刚挠结合板</w:t>
            </w: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万m²</w:t>
            </w:r>
          </w:p>
        </w:tc>
        <w:tc>
          <w:tcPr>
            <w:tcW w:w="60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变动</w:t>
            </w:r>
          </w:p>
        </w:tc>
        <w:tc>
          <w:tcPr>
            <w:tcW w:w="65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3.生产、处置或储存能力增大，导致废水第一类污染物排放量增加的。</w:t>
            </w:r>
          </w:p>
        </w:tc>
        <w:tc>
          <w:tcPr>
            <w:tcW w:w="8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p>
        </w:tc>
        <w:tc>
          <w:tcPr>
            <w:tcW w:w="8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p>
        </w:tc>
        <w:tc>
          <w:tcPr>
            <w:tcW w:w="60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p>
        </w:tc>
        <w:tc>
          <w:tcPr>
            <w:tcW w:w="65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项目属于达标区</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生产能力未增大</w:t>
            </w:r>
            <w:r>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未</w:t>
            </w:r>
            <w:r>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导致污染物排放量增加</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地点</w:t>
            </w: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5.重新选址；在原厂址附近调整（包括总平面布置变化）导致环境防护距离范围变化且新增敏感点的。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东台市经济开发区红星河路西侧，东区五路北侧纬三路以南、经五路以西，厂区平面布置见图</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东台市经济开发区红星河路西侧，东区五路北侧纬三路以南、经五路以西，平面布置发生变动，</w:t>
            </w:r>
            <w:r>
              <w:rPr>
                <w:rFonts w:hint="default" w:ascii="Times New Roman" w:hAnsi="Times New Roman" w:eastAsia="宋体" w:cs="Times New Roman"/>
                <w:color w:val="000000" w:themeColor="text1"/>
                <w:spacing w:val="-20"/>
                <w:sz w:val="21"/>
                <w:szCs w:val="21"/>
                <w:highlight w:val="none"/>
                <w:lang w:val="en-US" w:eastAsia="zh-CN"/>
                <w14:textFill>
                  <w14:solidFill>
                    <w14:schemeClr w14:val="tx1"/>
                  </w14:solidFill>
                </w14:textFill>
              </w:rPr>
              <w:t>卫生防护距离</w:t>
            </w:r>
            <w:r>
              <w:rPr>
                <w:rFonts w:hint="eastAsia" w:ascii="Times New Roman" w:hAnsi="Times New Roman" w:eastAsia="宋体" w:cs="Times New Roman"/>
                <w:color w:val="000000" w:themeColor="text1"/>
                <w:spacing w:val="-20"/>
                <w:sz w:val="21"/>
                <w:szCs w:val="21"/>
                <w:highlight w:val="none"/>
                <w:lang w:val="en-US" w:eastAsia="zh-CN"/>
                <w14:textFill>
                  <w14:solidFill>
                    <w14:schemeClr w14:val="tx1"/>
                  </w14:solidFill>
                </w14:textFill>
              </w:rPr>
              <w:t>内未新增敏感点</w:t>
            </w: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，具体见附图</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平面布置发生变动</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平面布置发生变动</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生产工艺</w:t>
            </w: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6.新增产品品种或生产工艺（含主要生产装置、设备及配套设施）、主要原辅材料、燃料变化，导致以下情形之一：</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（1）新增排放污染物种类的（毒性、挥发性降低的除外）；</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（2）位于环境质量不达标区的建设项目相应污染物排放量增加的；</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（3）废水第一类污染物排放量增加的；</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（4）其他污染物排放量增加10%及以上的。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生产工艺：</w:t>
            </w: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电镀铜、化学镀镍、化学镍金</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主要原辅料：</w:t>
            </w: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PI覆铜板、铜箔、硫酸、盐酸、硝酸等</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燃料：</w:t>
            </w: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天然气</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生产工艺：电镀铜、化学镀镍、化学镍金</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主要原辅料：PI覆铜板、铜箔、硫酸、盐酸、硝酸等</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燃料：天然气</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无变动</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7.物料运输、装卸、贮存方式变化，导致大气污染物无组织排放量增加10%及以上的。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物料运输方式为车运，贮存方式为</w:t>
            </w: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仓库或危化品仓库</w:t>
            </w: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内存放</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物料运输方式为车运，贮存方式为仓库或危化品仓库内存放</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无变动</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环境保护措施</w:t>
            </w: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废水：含镍废水经预处理后，与一般清洗废水进入一般清洗废水处理系统，处理后的废水回用于纯水制备或地面冲洗、绿化；含氰清洗废水、含氰喷淋废水、酸碱废液、含铜清洗废水经各自预处理设施处理后，与一般清洗废水处理系统产生的浓水、有机清洗废水、生活污水进入有机清洗废水处理系统，处理后的废水接管至东台市城东污水处理厂；酸碱喷淋废水、地面冲洗废水、纯水制备浓水与有机清洗废水处理系统处理后的废水接管至东台市城东污水处理厂。</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废气：FPC及刚挠结合板生产线中产生的粉尘废气、酸性废气、污水处理站储罐产生的呼吸废气经二级碱喷淋处理后通过25米高排气筒排放；碱性废气经二级酸喷淋处理后通过25米高排气筒排放；含氰废气经二级喷淋吸收氧化处理后通过25米高排气筒排放；有机废气经光催化氧化+活性炭吸附处理后通过33米高排气筒排放；锅炉燃烧废气通过22米高排气筒排放（锅炉已安装低氮燃烧装置）；未捕集的废气及污水处理站产生的恶臭废气呈无组织排放。</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废水：含镍废水经预处理后，与一般清洗废水进入一般清洗废水处理系统，处理后的废水回用于纯水制备或地面冲洗、绿化；含氰清洗废水、含氰喷淋废水、酸碱废液、含铜清洗废水经各自预处理设施处理后，与一般清洗废水处理系统产生的浓水、有机清洗废水、生活污水进入有机清洗废水处理系统，处理后的废水接管至东台市城东污水处理厂；酸碱喷淋废水、地面冲洗废水、纯水制备浓水与有机清洗废水处理系统处理后的废水接管至东台市城东污水处理厂。</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废气：FPC及刚挠结合板生产线中产生的粉尘废气、酸性废气、污水处理站储罐产生的呼吸废气经二级碱喷淋处理后通过25米高排气筒排放；碱性废气经二级酸喷淋处理后通过25米高排气筒排放；含氰废气经二级喷淋吸收氧化处理后通过25米高排气筒排放；有机废气经光催化氧化+活性炭吸附处理后通过33米高排气筒排放；锅炉燃烧废气通过22米高排气筒排放（锅炉已安装低氮燃烧装置）；未捕集的废气及污水处理站产生的恶臭废气呈无组织排放。</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污水处理产储罐的呼吸废气由有组排放变更为无组织排放。</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①污水处理站储罐位于污水处理站一楼，二级碱喷淋设施位于5#车间顶楼，二者高程相差20米，且中间过道需要经过卡车。</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②储罐已安装气液平衡管，且储罐无呼吸排口。</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9.新增废水直接排放口；废水由间接排放改为直接排放；废水直接排放口位置变化，导致不利环境影响加重的。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本项目设污水排口一个，雨水排口两个。污水接管至东台市城东污水处理厂。</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本项目设污水排口一个，雨水排口两个。污水接管至东台市城东污水处理厂。污水接管口位置未发生变化，雨水排口位置发生变化，未导致不利环境影响加重</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雨水排口位置发生变化。</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根据市政管网进行建设。</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10.新增废气主要排放口（废气无组织排放改为有组织排放的除外）；主要排放口排气筒高度降低10%及以上的。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酸性废气排口25米；碱性废气排口25米；含氰废气排口25米；有机废气排口25米；燃烧废气排口22米。</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酸性废气排口25米；碱性废气排口25米；含氰废气排口25米；有机废气排口</w:t>
            </w: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33</w:t>
            </w: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米；燃烧废气排口22米。</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排气筒数量不变，有机废气排口高度增加到33米。</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为满足环境监测的需要。</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11.噪声、土壤或地下水污染防治措施变化，导致不利环境影响加重的。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噪声：隔声减振、合理布局；</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土壤、地下水：进行针对性的防腐防渗</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噪声：隔声减振、合理布局；</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土壤、地下水：进行针对性的防腐防渗</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无变化</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12.固体废物利用处置方式由委托外单位利用处置改为自行利用处置的（自行利用处置设施单独开展环境影响评价的除外）；固体废物自行处置方式变化，导致不利环境影响加重的。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危险废物委托有资质单位处置；生活垃圾环卫清运</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危险废物委托有资质单位处置；生活垃圾环卫清运</w:t>
            </w:r>
          </w:p>
        </w:tc>
        <w:tc>
          <w:tcPr>
            <w:tcW w:w="1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无变化</w:t>
            </w:r>
          </w:p>
        </w:tc>
        <w:tc>
          <w:tcPr>
            <w:tcW w:w="185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vertAlign w:val="baseline"/>
                <w14:textFill>
                  <w14:solidFill>
                    <w14:schemeClr w14:val="tx1"/>
                  </w14:solidFill>
                </w14:textFill>
              </w:rPr>
            </w:pPr>
          </w:p>
        </w:tc>
        <w:tc>
          <w:tcPr>
            <w:tcW w:w="14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13.事故废水暂存能力或拦截设施变化，导致环境风险防范能力弱化或降低的。</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21"/>
                <w:szCs w:val="21"/>
                <w:lang w:val="en-US" w:eastAsia="zh-CN"/>
                <w14:textFill>
                  <w14:solidFill>
                    <w14:schemeClr w14:val="tx1"/>
                  </w14:solidFill>
                </w14:textFill>
              </w:rPr>
              <w:t>设1000m³应急事故池</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本项目生产区域内已建设一座事故应急池，容积为450m³；生活区喷泉水池作为备用应急池，容积为450m³，配备应急泵3台，可在半小时内清空做为应急池使用。</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应急事故池容积减小，以其他设施作为备用应急收集设施。</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2"/>
                <w:sz w:val="21"/>
                <w:szCs w:val="21"/>
                <w:lang w:val="en-US" w:eastAsia="zh-CN" w:bidi="ar-SA"/>
                <w14:textFill>
                  <w14:solidFill>
                    <w14:schemeClr w14:val="tx1"/>
                  </w14:solidFill>
                </w14:textFill>
              </w:rPr>
              <w:t>不属于</w:t>
            </w:r>
          </w:p>
        </w:tc>
      </w:tr>
    </w:tbl>
    <w:p>
      <w:pPr>
        <w:ind w:firstLine="56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由上述内容可知，本项目的性质、规模、地点、生产工艺和环保措施与重大变动清单对比，建设项目变动不属于重大变动，属于一般变动。</w:t>
      </w:r>
    </w:p>
    <w:p>
      <w:pPr>
        <w:ind w:firstLine="56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建设项目的性质、规模、建设地点、生产工艺、环境保护措施均未发生重大变动，项目实际生产对周围环境影响与环评中一致，不属于重大变动，无需纳入《建设项目环境影响评价分类管理名录》环评管理范围。</w:t>
      </w:r>
    </w:p>
    <w:p>
      <w:pPr>
        <w:ind w:firstLine="560"/>
        <w:rPr>
          <w:rFonts w:hint="default" w:ascii="Times New Roman" w:hAnsi="Times New Roman" w:eastAsia="宋体" w:cs="Times New Roman"/>
          <w:color w:val="000000" w:themeColor="text1"/>
          <w:lang w:eastAsia="zh-CN"/>
          <w14:textFill>
            <w14:solidFill>
              <w14:schemeClr w14:val="tx1"/>
            </w14:solidFill>
          </w14:textFill>
        </w:rPr>
        <w:sectPr>
          <w:pgSz w:w="16840" w:h="11920" w:orient="landscape"/>
          <w:pgMar w:top="1800" w:right="1440" w:bottom="1800" w:left="1440" w:header="0" w:footer="997" w:gutter="0"/>
          <w:pgBorders>
            <w:top w:val="none" w:sz="0" w:space="0"/>
            <w:left w:val="none" w:sz="0" w:space="0"/>
            <w:bottom w:val="none" w:sz="0" w:space="0"/>
            <w:right w:val="none" w:sz="0" w:space="0"/>
          </w:pgBorders>
          <w:cols w:space="720" w:num="1"/>
        </w:sectPr>
      </w:pPr>
    </w:p>
    <w:p>
      <w:pPr>
        <w:pStyle w:val="4"/>
        <w:rPr>
          <w:rFonts w:hint="default" w:ascii="Times New Roman" w:hAnsi="Times New Roman" w:eastAsia="宋体" w:cs="Times New Roman"/>
          <w:color w:val="000000" w:themeColor="text1"/>
          <w:lang w:eastAsia="zh-CN"/>
          <w14:textFill>
            <w14:solidFill>
              <w14:schemeClr w14:val="tx1"/>
            </w14:solidFill>
          </w14:textFill>
        </w:rPr>
      </w:pPr>
      <w:bookmarkStart w:id="18" w:name="_Toc6924"/>
      <w:r>
        <w:rPr>
          <w:rFonts w:hint="default" w:ascii="Times New Roman" w:hAnsi="Times New Roman" w:eastAsia="宋体" w:cs="Times New Roman"/>
          <w:color w:val="000000" w:themeColor="text1"/>
          <w:lang w:eastAsia="zh-CN"/>
          <w14:textFill>
            <w14:solidFill>
              <w14:schemeClr w14:val="tx1"/>
            </w14:solidFill>
          </w14:textFill>
        </w:rPr>
        <w:t>2 评价要素</w:t>
      </w:r>
      <w:bookmarkEnd w:id="18"/>
    </w:p>
    <w:p>
      <w:pPr>
        <w:pStyle w:val="5"/>
        <w:ind w:firstLine="643"/>
        <w:rPr>
          <w:rFonts w:hint="default" w:ascii="Times New Roman" w:hAnsi="Times New Roman" w:eastAsia="宋体" w:cs="Times New Roman"/>
          <w:color w:val="000000" w:themeColor="text1"/>
          <w:lang w:val="en-US" w:eastAsia="zh-CN"/>
          <w14:textFill>
            <w14:solidFill>
              <w14:schemeClr w14:val="tx1"/>
            </w14:solidFill>
          </w14:textFill>
        </w:rPr>
      </w:pPr>
      <w:bookmarkStart w:id="19" w:name="_Toc31139"/>
      <w:r>
        <w:rPr>
          <w:rFonts w:hint="default" w:ascii="Times New Roman" w:hAnsi="Times New Roman" w:eastAsia="宋体" w:cs="Times New Roman"/>
          <w:color w:val="000000" w:themeColor="text1"/>
          <w:lang w:eastAsia="zh-CN"/>
          <w14:textFill>
            <w14:solidFill>
              <w14:schemeClr w14:val="tx1"/>
            </w14:solidFill>
          </w14:textFill>
        </w:rPr>
        <w:t>2.1</w:t>
      </w:r>
      <w:r>
        <w:rPr>
          <w:rFonts w:hint="eastAsia" w:ascii="Times New Roman" w:hAnsi="Times New Roman" w:eastAsia="宋体" w:cs="Times New Roman"/>
          <w:color w:val="000000" w:themeColor="text1"/>
          <w:lang w:val="en-US" w:eastAsia="zh-CN"/>
          <w14:textFill>
            <w14:solidFill>
              <w14:schemeClr w14:val="tx1"/>
            </w14:solidFill>
          </w14:textFill>
        </w:rPr>
        <w:t>评价等级</w:t>
      </w:r>
      <w:bookmarkEnd w:id="19"/>
    </w:p>
    <w:p>
      <w:pPr>
        <w:ind w:firstLine="56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本次评价环境</w:t>
      </w:r>
      <w:r>
        <w:rPr>
          <w:rFonts w:hint="eastAsia" w:ascii="Times New Roman" w:hAnsi="Times New Roman" w:eastAsia="宋体" w:cs="Times New Roman"/>
          <w:color w:val="000000" w:themeColor="text1"/>
          <w:lang w:val="en-US" w:eastAsia="zh-CN"/>
          <w14:textFill>
            <w14:solidFill>
              <w14:schemeClr w14:val="tx1"/>
            </w14:solidFill>
          </w14:textFill>
        </w:rPr>
        <w:t>评价等级</w:t>
      </w:r>
      <w:r>
        <w:rPr>
          <w:rFonts w:hint="default" w:ascii="Times New Roman" w:hAnsi="Times New Roman" w:eastAsia="宋体" w:cs="Times New Roman"/>
          <w:color w:val="000000" w:themeColor="text1"/>
          <w:lang w:eastAsia="zh-CN"/>
          <w14:textFill>
            <w14:solidFill>
              <w14:schemeClr w14:val="tx1"/>
            </w14:solidFill>
          </w14:textFill>
        </w:rPr>
        <w:t>未发生变动，具体情况见下表。</w:t>
      </w:r>
    </w:p>
    <w:p>
      <w:pPr>
        <w:pStyle w:val="14"/>
        <w:keepNext w:val="0"/>
        <w:keepLines w:val="0"/>
        <w:pageBreakBefore w:val="0"/>
        <w:widowControl w:val="0"/>
        <w:kinsoku/>
        <w:wordWrap/>
        <w:overflowPunct/>
        <w:topLinePunct w:val="0"/>
        <w:autoSpaceDE/>
        <w:autoSpaceDN/>
        <w:bidi w:val="0"/>
        <w:adjustRightInd/>
        <w:snapToGrid w:val="0"/>
        <w:spacing w:beforeAutospacing="0" w:after="0" w:afterAutospacing="0" w:line="24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表2.1-1 环境影响评价等级一览表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999"/>
        <w:gridCol w:w="2026"/>
        <w:gridCol w:w="1656"/>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8"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bookmarkStart w:id="29" w:name="_GoBack"/>
            <w:r>
              <w:rPr>
                <w:rFonts w:hint="default" w:ascii="Times New Roman" w:hAnsi="Times New Roman" w:eastAsia="宋体" w:cs="Times New Roman"/>
                <w:b/>
                <w:bCs/>
                <w:color w:val="000000" w:themeColor="text1"/>
                <w:sz w:val="21"/>
                <w:szCs w:val="21"/>
                <w:lang w:eastAsia="zh-CN"/>
                <w14:textFill>
                  <w14:solidFill>
                    <w14:schemeClr w14:val="tx1"/>
                  </w14:solidFill>
                </w14:textFill>
              </w:rPr>
              <w:t>评价内容</w:t>
            </w:r>
          </w:p>
        </w:tc>
        <w:tc>
          <w:tcPr>
            <w:tcW w:w="4221" w:type="pct"/>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环境影响评价等级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8"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1171"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环评中</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等级</w:t>
            </w:r>
          </w:p>
        </w:tc>
        <w:tc>
          <w:tcPr>
            <w:tcW w:w="118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实际情况</w:t>
            </w:r>
          </w:p>
        </w:tc>
        <w:tc>
          <w:tcPr>
            <w:tcW w:w="97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变化情况</w:t>
            </w:r>
          </w:p>
        </w:tc>
        <w:tc>
          <w:tcPr>
            <w:tcW w:w="893"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大气环境</w:t>
            </w:r>
          </w:p>
        </w:tc>
        <w:tc>
          <w:tcPr>
            <w:tcW w:w="1171"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二级</w:t>
            </w:r>
          </w:p>
        </w:tc>
        <w:tc>
          <w:tcPr>
            <w:tcW w:w="118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二级</w:t>
            </w:r>
          </w:p>
        </w:tc>
        <w:tc>
          <w:tcPr>
            <w:tcW w:w="97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893"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相关等级判定均对照环评中相关判定标准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地表水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17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三级 B</w:t>
            </w:r>
          </w:p>
        </w:tc>
        <w:tc>
          <w:tcPr>
            <w:tcW w:w="1187"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三级 B</w:t>
            </w:r>
          </w:p>
        </w:tc>
        <w:tc>
          <w:tcPr>
            <w:tcW w:w="97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893"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声环境</w:t>
            </w:r>
          </w:p>
        </w:tc>
        <w:tc>
          <w:tcPr>
            <w:tcW w:w="1171"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w:t>
            </w:r>
          </w:p>
        </w:tc>
        <w:tc>
          <w:tcPr>
            <w:tcW w:w="1187"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w:t>
            </w:r>
          </w:p>
        </w:tc>
        <w:tc>
          <w:tcPr>
            <w:tcW w:w="97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893"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环境风险</w:t>
            </w:r>
          </w:p>
        </w:tc>
        <w:tc>
          <w:tcPr>
            <w:tcW w:w="1171"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w:t>
            </w:r>
          </w:p>
        </w:tc>
        <w:tc>
          <w:tcPr>
            <w:tcW w:w="1187" w:type="pct"/>
            <w:tcBorders>
              <w:tl2br w:val="nil"/>
              <w:tr2bl w:val="nil"/>
            </w:tcBorders>
            <w:vAlign w:val="center"/>
          </w:tcPr>
          <w:p>
            <w:pPr>
              <w:widowControl/>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w:t>
            </w:r>
          </w:p>
        </w:tc>
        <w:tc>
          <w:tcPr>
            <w:tcW w:w="97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893"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地下水环境</w:t>
            </w:r>
          </w:p>
        </w:tc>
        <w:tc>
          <w:tcPr>
            <w:tcW w:w="1171"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w:t>
            </w:r>
          </w:p>
        </w:tc>
        <w:tc>
          <w:tcPr>
            <w:tcW w:w="1187"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w:t>
            </w:r>
          </w:p>
        </w:tc>
        <w:tc>
          <w:tcPr>
            <w:tcW w:w="97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893"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土壤环境</w:t>
            </w:r>
          </w:p>
        </w:tc>
        <w:tc>
          <w:tcPr>
            <w:tcW w:w="1171"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简单分析</w:t>
            </w:r>
          </w:p>
        </w:tc>
        <w:tc>
          <w:tcPr>
            <w:tcW w:w="1187"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简单分析</w:t>
            </w:r>
          </w:p>
        </w:tc>
        <w:tc>
          <w:tcPr>
            <w:tcW w:w="97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893"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生态环境</w:t>
            </w:r>
          </w:p>
        </w:tc>
        <w:tc>
          <w:tcPr>
            <w:tcW w:w="1171"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一般分析</w:t>
            </w:r>
          </w:p>
        </w:tc>
        <w:tc>
          <w:tcPr>
            <w:tcW w:w="1187"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一般分析</w:t>
            </w:r>
          </w:p>
        </w:tc>
        <w:tc>
          <w:tcPr>
            <w:tcW w:w="97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不变</w:t>
            </w:r>
          </w:p>
        </w:tc>
        <w:tc>
          <w:tcPr>
            <w:tcW w:w="893"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bookmarkEnd w:id="29"/>
    </w:tbl>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企业相关污染防治措施均为向好发展或不变，因此对照原环评判定标准，相关环境要素评价等级不变。</w:t>
      </w:r>
    </w:p>
    <w:p>
      <w:pPr>
        <w:pStyle w:val="5"/>
        <w:ind w:firstLine="643"/>
        <w:rPr>
          <w:rFonts w:hint="default" w:ascii="Times New Roman" w:hAnsi="Times New Roman" w:eastAsia="宋体" w:cs="Times New Roman"/>
          <w:color w:val="000000" w:themeColor="text1"/>
          <w:lang w:val="en-US" w:eastAsia="zh-CN"/>
          <w14:textFill>
            <w14:solidFill>
              <w14:schemeClr w14:val="tx1"/>
            </w14:solidFill>
          </w14:textFill>
        </w:rPr>
      </w:pPr>
      <w:bookmarkStart w:id="20" w:name="_Toc2921"/>
      <w:r>
        <w:rPr>
          <w:rFonts w:hint="eastAsia" w:ascii="Times New Roman" w:hAnsi="Times New Roman" w:eastAsia="宋体" w:cs="Times New Roman"/>
          <w:color w:val="000000" w:themeColor="text1"/>
          <w:lang w:val="en-US" w:eastAsia="zh-CN"/>
          <w14:textFill>
            <w14:solidFill>
              <w14:schemeClr w14:val="tx1"/>
            </w14:solidFill>
          </w14:textFill>
        </w:rPr>
        <w:t>2.2评价范围</w:t>
      </w:r>
      <w:bookmarkEnd w:id="20"/>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本次评价环境</w:t>
      </w:r>
      <w:r>
        <w:rPr>
          <w:rFonts w:hint="eastAsia" w:ascii="Times New Roman" w:hAnsi="Times New Roman" w:eastAsia="宋体" w:cs="Times New Roman"/>
          <w:color w:val="000000" w:themeColor="text1"/>
          <w:lang w:val="en-US" w:eastAsia="zh-CN"/>
          <w14:textFill>
            <w14:solidFill>
              <w14:schemeClr w14:val="tx1"/>
            </w14:solidFill>
          </w14:textFill>
        </w:rPr>
        <w:t>评价等级</w:t>
      </w:r>
      <w:r>
        <w:rPr>
          <w:rFonts w:hint="default" w:ascii="Times New Roman" w:hAnsi="Times New Roman" w:eastAsia="宋体" w:cs="Times New Roman"/>
          <w:color w:val="000000" w:themeColor="text1"/>
          <w:lang w:val="en-US" w:eastAsia="zh-CN"/>
          <w14:textFill>
            <w14:solidFill>
              <w14:schemeClr w14:val="tx1"/>
            </w14:solidFill>
          </w14:textFill>
        </w:rPr>
        <w:t>未发生变动，具体情况见下表。</w:t>
      </w:r>
    </w:p>
    <w:p>
      <w:pPr>
        <w:pStyle w:val="14"/>
        <w:keepNext w:val="0"/>
        <w:keepLines w:val="0"/>
        <w:pageBreakBefore w:val="0"/>
        <w:widowControl w:val="0"/>
        <w:kinsoku/>
        <w:wordWrap/>
        <w:overflowPunct/>
        <w:topLinePunct w:val="0"/>
        <w:autoSpaceDE/>
        <w:autoSpaceDN/>
        <w:bidi w:val="0"/>
        <w:adjustRightInd/>
        <w:snapToGrid w:val="0"/>
        <w:spacing w:beforeAutospacing="0" w:after="0" w:afterAutospacing="0" w:line="24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 环境影响评价</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范围</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607"/>
        <w:gridCol w:w="2538"/>
        <w:gridCol w:w="1156"/>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2"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评价内容</w:t>
            </w:r>
          </w:p>
        </w:tc>
        <w:tc>
          <w:tcPr>
            <w:tcW w:w="4227" w:type="pct"/>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环境影响评价</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2"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152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环评中</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范围</w:t>
            </w:r>
          </w:p>
        </w:tc>
        <w:tc>
          <w:tcPr>
            <w:tcW w:w="148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实际情况</w:t>
            </w:r>
          </w:p>
        </w:tc>
        <w:tc>
          <w:tcPr>
            <w:tcW w:w="67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变化情况</w:t>
            </w:r>
          </w:p>
        </w:tc>
        <w:tc>
          <w:tcPr>
            <w:tcW w:w="53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大气环境</w:t>
            </w:r>
          </w:p>
        </w:tc>
        <w:tc>
          <w:tcPr>
            <w:tcW w:w="152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以项目厂址为中心区域，自厂界外延5km*5km矩形区域</w:t>
            </w:r>
          </w:p>
        </w:tc>
        <w:tc>
          <w:tcPr>
            <w:tcW w:w="148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以项目厂址为中心区域，自厂界外延5km*5km矩形区域</w:t>
            </w:r>
          </w:p>
        </w:tc>
        <w:tc>
          <w:tcPr>
            <w:tcW w:w="67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534"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相关范围均对照原环评中相关判定标准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地表水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527" w:type="pct"/>
            <w:tcBorders>
              <w:tl2br w:val="nil"/>
              <w:tr2bl w:val="nil"/>
            </w:tcBorders>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东台市城东污水处理厂排污口上游500米至下游1500m</w:t>
            </w:r>
          </w:p>
        </w:tc>
        <w:tc>
          <w:tcPr>
            <w:tcW w:w="1487" w:type="pct"/>
            <w:tcBorders>
              <w:tl2br w:val="nil"/>
              <w:tr2bl w:val="nil"/>
            </w:tcBorders>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东台市城东污水处理厂排污口上游500米至下游1500m</w:t>
            </w:r>
          </w:p>
        </w:tc>
        <w:tc>
          <w:tcPr>
            <w:tcW w:w="67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53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声环境</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项目厂界外200m范围</w:t>
            </w:r>
          </w:p>
        </w:tc>
        <w:tc>
          <w:tcPr>
            <w:tcW w:w="14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项目厂界外200m范围</w:t>
            </w:r>
          </w:p>
        </w:tc>
        <w:tc>
          <w:tcPr>
            <w:tcW w:w="67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53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环境风险</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大气风险评价范围同大气评价范围一致；地表水风险评价范围同地表水评价范围一致</w:t>
            </w:r>
          </w:p>
        </w:tc>
        <w:tc>
          <w:tcPr>
            <w:tcW w:w="14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大气风险评价范围同大气评价范围一致；地表水风险评价范围同地表水评价范围一致</w:t>
            </w:r>
          </w:p>
        </w:tc>
        <w:tc>
          <w:tcPr>
            <w:tcW w:w="67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53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地下水环境</w:t>
            </w:r>
          </w:p>
        </w:tc>
        <w:tc>
          <w:tcPr>
            <w:tcW w:w="1527" w:type="pct"/>
            <w:tcBorders>
              <w:tl2br w:val="nil"/>
              <w:tr2bl w:val="nil"/>
            </w:tcBorders>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厂区内外独立水文地质单元内的地下水，外扩6km²区域</w:t>
            </w:r>
          </w:p>
        </w:tc>
        <w:tc>
          <w:tcPr>
            <w:tcW w:w="1487" w:type="pct"/>
            <w:tcBorders>
              <w:tl2br w:val="nil"/>
              <w:tr2bl w:val="nil"/>
            </w:tcBorders>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厂区内外独立水文地质单元内的地下水，外扩6km²区域</w:t>
            </w:r>
          </w:p>
        </w:tc>
        <w:tc>
          <w:tcPr>
            <w:tcW w:w="67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53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土壤环境</w:t>
            </w:r>
          </w:p>
        </w:tc>
        <w:tc>
          <w:tcPr>
            <w:tcW w:w="1527"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项目占地范围内及占地范围外200m内区域</w:t>
            </w:r>
          </w:p>
        </w:tc>
        <w:tc>
          <w:tcPr>
            <w:tcW w:w="1487"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项目占地范围内及占地范围外200m内区域</w:t>
            </w:r>
          </w:p>
        </w:tc>
        <w:tc>
          <w:tcPr>
            <w:tcW w:w="67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c>
          <w:tcPr>
            <w:tcW w:w="53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生态环境</w:t>
            </w:r>
          </w:p>
        </w:tc>
        <w:tc>
          <w:tcPr>
            <w:tcW w:w="1527"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同大气环境评价范围一致</w:t>
            </w:r>
          </w:p>
        </w:tc>
        <w:tc>
          <w:tcPr>
            <w:tcW w:w="1487"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同大气环境评价范围一致</w:t>
            </w:r>
          </w:p>
        </w:tc>
        <w:tc>
          <w:tcPr>
            <w:tcW w:w="67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不变</w:t>
            </w:r>
          </w:p>
        </w:tc>
        <w:tc>
          <w:tcPr>
            <w:tcW w:w="53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bl>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企业环境要素评价等级未发生变化，因此对照原环评判定标准，相关环境要素评价范围不变。</w:t>
      </w:r>
    </w:p>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21" w:name="_Toc20768"/>
      <w:r>
        <w:rPr>
          <w:rFonts w:hint="default" w:ascii="Times New Roman" w:hAnsi="Times New Roman" w:eastAsia="宋体" w:cs="Times New Roman"/>
          <w:color w:val="000000" w:themeColor="text1"/>
          <w:lang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环境质量标准</w:t>
      </w:r>
      <w:bookmarkEnd w:id="21"/>
    </w:p>
    <w:p>
      <w:pPr>
        <w:ind w:firstLine="56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本次评价环境质量标准未发生变动，具体情况见下表。</w:t>
      </w:r>
    </w:p>
    <w:p>
      <w:pPr>
        <w:pStyle w:val="14"/>
        <w:keepNext w:val="0"/>
        <w:keepLines w:val="0"/>
        <w:pageBreakBefore w:val="0"/>
        <w:widowControl w:val="0"/>
        <w:kinsoku/>
        <w:wordWrap/>
        <w:overflowPunct/>
        <w:topLinePunct w:val="0"/>
        <w:autoSpaceDE/>
        <w:autoSpaceDN/>
        <w:bidi w:val="0"/>
        <w:adjustRightInd/>
        <w:snapToGrid w:val="0"/>
        <w:spacing w:beforeAutospacing="0" w:after="0" w:afterAutospacing="0" w:line="24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 环境影响评价等级一览表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3061"/>
        <w:gridCol w:w="3062"/>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评价内容</w:t>
            </w:r>
          </w:p>
        </w:tc>
        <w:tc>
          <w:tcPr>
            <w:tcW w:w="4217"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1793"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环评中统计</w:t>
            </w:r>
          </w:p>
        </w:tc>
        <w:tc>
          <w:tcPr>
            <w:tcW w:w="179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实际情况</w:t>
            </w:r>
          </w:p>
        </w:tc>
        <w:tc>
          <w:tcPr>
            <w:tcW w:w="62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环境空气</w:t>
            </w:r>
          </w:p>
        </w:tc>
        <w:tc>
          <w:tcPr>
            <w:tcW w:w="1793"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《环境空气质量标准》</w:t>
            </w:r>
          </w:p>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（GB3095-2012）二级标准</w:t>
            </w:r>
          </w:p>
        </w:tc>
        <w:tc>
          <w:tcPr>
            <w:tcW w:w="179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《环境空气质量标准》</w:t>
            </w:r>
          </w:p>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（GB3095-2012）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及其修改单</w:t>
            </w:r>
            <w:r>
              <w:rPr>
                <w:rFonts w:hint="default" w:ascii="Times New Roman" w:hAnsi="Times New Roman" w:eastAsia="宋体" w:cs="Times New Roman"/>
                <w:color w:val="000000" w:themeColor="text1"/>
                <w:sz w:val="21"/>
                <w:szCs w:val="21"/>
                <w:lang w:eastAsia="zh-CN"/>
                <w14:textFill>
                  <w14:solidFill>
                    <w14:schemeClr w14:val="tx1"/>
                  </w14:solidFill>
                </w14:textFill>
              </w:rPr>
              <w:t>二级标准</w:t>
            </w:r>
          </w:p>
        </w:tc>
        <w:tc>
          <w:tcPr>
            <w:tcW w:w="62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地表水</w:t>
            </w:r>
          </w:p>
        </w:tc>
        <w:tc>
          <w:tcPr>
            <w:tcW w:w="179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《地表水环境质量标准》（GB3838-2002）的III类标准</w:t>
            </w:r>
          </w:p>
        </w:tc>
        <w:tc>
          <w:tcPr>
            <w:tcW w:w="1794"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《地表水环境质量标准》（GB3838-2002）的III类标准</w:t>
            </w:r>
          </w:p>
        </w:tc>
        <w:tc>
          <w:tcPr>
            <w:tcW w:w="62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声环境</w:t>
            </w:r>
          </w:p>
        </w:tc>
        <w:tc>
          <w:tcPr>
            <w:tcW w:w="1793"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《声环境质量标准》（GB3096-2008）中的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类标准</w:t>
            </w:r>
          </w:p>
        </w:tc>
        <w:tc>
          <w:tcPr>
            <w:tcW w:w="1794"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《声环境质量标准》（GB3096-2008）中的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类标准</w:t>
            </w:r>
          </w:p>
        </w:tc>
        <w:tc>
          <w:tcPr>
            <w:tcW w:w="62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地下水环境</w:t>
            </w:r>
          </w:p>
        </w:tc>
        <w:tc>
          <w:tcPr>
            <w:tcW w:w="1793"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《地下水环境质量标准》（GB/T4848-2017）分类</w:t>
            </w:r>
          </w:p>
        </w:tc>
        <w:tc>
          <w:tcPr>
            <w:tcW w:w="1794"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《地下水环境质量标准》（GB/T4848-2017）分类</w:t>
            </w:r>
          </w:p>
        </w:tc>
        <w:tc>
          <w:tcPr>
            <w:tcW w:w="62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土壤环境</w:t>
            </w:r>
          </w:p>
        </w:tc>
        <w:tc>
          <w:tcPr>
            <w:tcW w:w="1793"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《土壤环境质量 建设用地土壤污染风险管控标准（试行）（GB36600-2018）》第二类用地筛选值标准</w:t>
            </w:r>
          </w:p>
        </w:tc>
        <w:tc>
          <w:tcPr>
            <w:tcW w:w="1794" w:type="pct"/>
            <w:tcBorders>
              <w:tl2br w:val="nil"/>
              <w:tr2bl w:val="nil"/>
            </w:tcBorders>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《土壤环境质量 建设用地土壤污染风险管控标准（试行）（GB36600-2018）》第二类用地筛选值标准</w:t>
            </w:r>
          </w:p>
        </w:tc>
        <w:tc>
          <w:tcPr>
            <w:tcW w:w="62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r>
    </w:tbl>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22" w:name="_Toc17362"/>
      <w:r>
        <w:rPr>
          <w:rFonts w:hint="default" w:ascii="Times New Roman" w:hAnsi="Times New Roman" w:eastAsia="宋体" w:cs="Times New Roman"/>
          <w:color w:val="000000" w:themeColor="text1"/>
          <w:lang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污染物排放标准</w:t>
      </w:r>
      <w:bookmarkEnd w:id="22"/>
    </w:p>
    <w:p>
      <w:pPr>
        <w:widowControl/>
        <w:ind w:firstLine="48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color w:val="000000" w:themeColor="text1"/>
          <w:sz w:val="24"/>
          <w:szCs w:val="24"/>
          <w:lang w:eastAsia="zh-CN" w:bidi="ar"/>
          <w14:textFill>
            <w14:solidFill>
              <w14:schemeClr w14:val="tx1"/>
            </w14:solidFill>
          </w14:textFill>
        </w:rPr>
        <w:t xml:space="preserve"> </w:t>
      </w:r>
      <w:r>
        <w:rPr>
          <w:rFonts w:hint="default" w:ascii="Times New Roman" w:hAnsi="Times New Roman" w:eastAsia="宋体" w:cs="Times New Roman"/>
          <w:color w:val="000000" w:themeColor="text1"/>
          <w:lang w:eastAsia="zh-CN"/>
          <w14:textFill>
            <w14:solidFill>
              <w14:schemeClr w14:val="tx1"/>
            </w14:solidFill>
          </w14:textFill>
        </w:rPr>
        <w:t>本次评价污染物排放标准发生</w:t>
      </w:r>
      <w:r>
        <w:rPr>
          <w:rFonts w:hint="eastAsia" w:ascii="Times New Roman" w:hAnsi="Times New Roman" w:eastAsia="宋体" w:cs="Times New Roman"/>
          <w:color w:val="000000" w:themeColor="text1"/>
          <w:lang w:val="en-US" w:eastAsia="zh-CN"/>
          <w14:textFill>
            <w14:solidFill>
              <w14:schemeClr w14:val="tx1"/>
            </w14:solidFill>
          </w14:textFill>
        </w:rPr>
        <w:t>了</w:t>
      </w:r>
      <w:r>
        <w:rPr>
          <w:rFonts w:hint="default" w:ascii="Times New Roman" w:hAnsi="Times New Roman" w:eastAsia="宋体" w:cs="Times New Roman"/>
          <w:color w:val="000000" w:themeColor="text1"/>
          <w:lang w:eastAsia="zh-CN"/>
          <w14:textFill>
            <w14:solidFill>
              <w14:schemeClr w14:val="tx1"/>
            </w14:solidFill>
          </w14:textFill>
        </w:rPr>
        <w:t>变动，具体情况见下表。</w:t>
      </w:r>
    </w:p>
    <w:p>
      <w:pPr>
        <w:pStyle w:val="14"/>
        <w:keepNext w:val="0"/>
        <w:keepLines w:val="0"/>
        <w:pageBreakBefore w:val="0"/>
        <w:widowControl w:val="0"/>
        <w:kinsoku/>
        <w:wordWrap/>
        <w:overflowPunct/>
        <w:topLinePunct w:val="0"/>
        <w:autoSpaceDE/>
        <w:autoSpaceDN/>
        <w:bidi w:val="0"/>
        <w:adjustRightInd/>
        <w:snapToGrid w:val="0"/>
        <w:spacing w:beforeAutospacing="0" w:after="0" w:afterAutospacing="0" w:line="24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 污染物排放标准变动情况</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3452"/>
        <w:gridCol w:w="3225"/>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评价内容</w:t>
            </w:r>
          </w:p>
        </w:tc>
        <w:tc>
          <w:tcPr>
            <w:tcW w:w="456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污染物排放</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202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环评中统计</w:t>
            </w:r>
          </w:p>
        </w:tc>
        <w:tc>
          <w:tcPr>
            <w:tcW w:w="188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实际情况</w:t>
            </w:r>
          </w:p>
        </w:tc>
        <w:tc>
          <w:tcPr>
            <w:tcW w:w="65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202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《电镀污染物排放标准》GB21900-2008表5标准</w:t>
            </w:r>
          </w:p>
        </w:tc>
        <w:tc>
          <w:tcPr>
            <w:tcW w:w="188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《电镀污染物排放标准》GB21900-2008表5标准</w:t>
            </w:r>
          </w:p>
        </w:tc>
        <w:tc>
          <w:tcPr>
            <w:tcW w:w="657"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以最新地方标准校核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vAlign w:val="center"/>
          </w:tcPr>
          <w:p>
            <w:pPr>
              <w:adjustRightInd w:val="0"/>
              <w:snapToGrid w:val="0"/>
              <w:spacing w:line="240" w:lineRule="auto"/>
              <w:ind w:firstLine="0" w:firstLineChars="0"/>
              <w:jc w:val="center"/>
              <w:rPr>
                <w:color w:val="000000" w:themeColor="text1"/>
                <w14:textFill>
                  <w14:solidFill>
                    <w14:schemeClr w14:val="tx1"/>
                  </w14:solidFill>
                </w14:textFill>
              </w:rPr>
            </w:pPr>
          </w:p>
        </w:tc>
        <w:tc>
          <w:tcPr>
            <w:tcW w:w="202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《大气污染物综合排放标准》GB16297-1996表2标准</w:t>
            </w:r>
          </w:p>
        </w:tc>
        <w:tc>
          <w:tcPr>
            <w:tcW w:w="188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《大气污染物综合排放标准》GB16297-1996表2标准</w:t>
            </w:r>
          </w:p>
        </w:tc>
        <w:tc>
          <w:tcPr>
            <w:tcW w:w="657"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《恶臭污染物排放标准》（GB 14554-93）</w:t>
            </w:r>
          </w:p>
        </w:tc>
        <w:tc>
          <w:tcPr>
            <w:tcW w:w="188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《恶臭污染物排放标准》（GB 14554-93）</w:t>
            </w:r>
          </w:p>
        </w:tc>
        <w:tc>
          <w:tcPr>
            <w:tcW w:w="657"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《工业企业挥发性有机物排放控制标准》（DB12/524-2020）</w:t>
            </w:r>
          </w:p>
        </w:tc>
        <w:tc>
          <w:tcPr>
            <w:tcW w:w="188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《工业企业挥发性有机物排放控制标准》（DB12/524-2020）</w:t>
            </w:r>
          </w:p>
        </w:tc>
        <w:tc>
          <w:tcPr>
            <w:tcW w:w="657"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废水</w:t>
            </w:r>
          </w:p>
        </w:tc>
        <w:tc>
          <w:tcPr>
            <w:tcW w:w="202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东台市城东污水处理厂接管标准</w:t>
            </w:r>
          </w:p>
        </w:tc>
        <w:tc>
          <w:tcPr>
            <w:tcW w:w="188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东台市城东污水处理厂接管标准</w:t>
            </w:r>
          </w:p>
        </w:tc>
        <w:tc>
          <w:tcPr>
            <w:tcW w:w="657"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02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《电镀污染物排放标准》（GB21900-2008）表2标准</w:t>
            </w:r>
          </w:p>
        </w:tc>
        <w:tc>
          <w:tcPr>
            <w:tcW w:w="1889" w:type="pc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《电镀污染物排放标准》（GB21900-2008）表2标准</w:t>
            </w:r>
          </w:p>
        </w:tc>
        <w:tc>
          <w:tcPr>
            <w:tcW w:w="657"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02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《城镇污水处理厂污染物排放标准》（GB18918-2002）表1一级A标准</w:t>
            </w:r>
          </w:p>
        </w:tc>
        <w:tc>
          <w:tcPr>
            <w:tcW w:w="1889" w:type="pc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《城镇污水处理厂污染物排放标准》（GB18918-2002）表1一级A标准</w:t>
            </w:r>
          </w:p>
        </w:tc>
        <w:tc>
          <w:tcPr>
            <w:tcW w:w="657"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噪声</w:t>
            </w:r>
          </w:p>
        </w:tc>
        <w:tc>
          <w:tcPr>
            <w:tcW w:w="202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《工业企业厂界环境排放标准》（GB12348-2008）中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类标准 </w:t>
            </w:r>
          </w:p>
        </w:tc>
        <w:tc>
          <w:tcPr>
            <w:tcW w:w="188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《工业企业厂界环境排放标准》（GB12348-2008）中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类标准 </w:t>
            </w:r>
          </w:p>
        </w:tc>
        <w:tc>
          <w:tcPr>
            <w:tcW w:w="65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r>
    </w:tbl>
    <w:p>
      <w:pPr>
        <w:keepNext w:val="0"/>
        <w:keepLines w:val="0"/>
        <w:pageBreakBefore w:val="0"/>
        <w:widowControl/>
        <w:kinsoku/>
        <w:wordWrap w:val="0"/>
        <w:overflowPunct/>
        <w:topLinePunct w:val="0"/>
        <w:autoSpaceDE/>
        <w:autoSpaceDN/>
        <w:bidi w:val="0"/>
        <w:adjustRightInd/>
        <w:snapToGrid/>
        <w:ind w:firstLine="482"/>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p>
      <w:pPr>
        <w:pStyle w:val="6"/>
        <w:rPr>
          <w:rFonts w:hint="default"/>
          <w:lang w:val="en-US" w:eastAsia="zh-CN"/>
        </w:rPr>
      </w:pPr>
    </w:p>
    <w:p>
      <w:pPr>
        <w:rPr>
          <w:rFonts w:hint="default"/>
          <w:lang w:val="en-US" w:eastAsia="zh-CN"/>
        </w:rPr>
        <w:sectPr>
          <w:pgSz w:w="11920" w:h="16840"/>
          <w:pgMar w:top="1440" w:right="1800" w:bottom="1440" w:left="1800" w:header="0" w:footer="997" w:gutter="0"/>
          <w:pgBorders>
            <w:top w:val="none" w:sz="0" w:space="0"/>
            <w:left w:val="none" w:sz="0" w:space="0"/>
            <w:bottom w:val="none" w:sz="0" w:space="0"/>
            <w:right w:val="none" w:sz="0" w:space="0"/>
          </w:pgBorders>
          <w:cols w:space="720" w:num="1"/>
        </w:sectPr>
      </w:pPr>
    </w:p>
    <w:p>
      <w:pPr>
        <w:pStyle w:val="4"/>
        <w:rPr>
          <w:rFonts w:hint="default" w:ascii="Times New Roman" w:hAnsi="Times New Roman" w:eastAsia="宋体" w:cs="Times New Roman"/>
          <w:color w:val="000000" w:themeColor="text1"/>
          <w:lang w:eastAsia="zh-CN"/>
          <w14:textFill>
            <w14:solidFill>
              <w14:schemeClr w14:val="tx1"/>
            </w14:solidFill>
          </w14:textFill>
        </w:rPr>
      </w:pPr>
      <w:bookmarkStart w:id="23" w:name="_Toc16746"/>
      <w:r>
        <w:rPr>
          <w:rFonts w:hint="default" w:ascii="Times New Roman" w:hAnsi="Times New Roman" w:eastAsia="宋体" w:cs="Times New Roman"/>
          <w:color w:val="000000" w:themeColor="text1"/>
          <w:lang w:eastAsia="zh-CN"/>
          <w14:textFill>
            <w14:solidFill>
              <w14:schemeClr w14:val="tx1"/>
            </w14:solidFill>
          </w14:textFill>
        </w:rPr>
        <w:t>3 环境影响分析</w:t>
      </w:r>
      <w:bookmarkEnd w:id="23"/>
    </w:p>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24" w:name="_Toc9228"/>
      <w:r>
        <w:rPr>
          <w:rFonts w:hint="default" w:ascii="Times New Roman" w:hAnsi="Times New Roman" w:eastAsia="宋体" w:cs="Times New Roman"/>
          <w:color w:val="000000" w:themeColor="text1"/>
          <w:lang w:eastAsia="zh-CN"/>
          <w14:textFill>
            <w14:solidFill>
              <w14:schemeClr w14:val="tx1"/>
            </w14:solidFill>
          </w14:textFill>
        </w:rPr>
        <w:t>3.1废水影响分析</w:t>
      </w:r>
      <w:bookmarkEnd w:id="24"/>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3.1.1废水污染物产生及排放情况</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本项目废水污染物产生及排放情况未发生变化。</w:t>
      </w:r>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3.1.2影响分析</w:t>
      </w:r>
    </w:p>
    <w:p>
      <w:pPr>
        <w:ind w:firstLine="56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对环境影响</w:t>
      </w:r>
      <w:r>
        <w:rPr>
          <w:rFonts w:hint="eastAsia" w:ascii="Times New Roman" w:hAnsi="Times New Roman" w:eastAsia="宋体" w:cs="Times New Roman"/>
          <w:color w:val="000000" w:themeColor="text1"/>
          <w:lang w:val="en-US" w:eastAsia="zh-CN"/>
          <w14:textFill>
            <w14:solidFill>
              <w14:schemeClr w14:val="tx1"/>
            </w14:solidFill>
          </w14:textFill>
        </w:rPr>
        <w:t>不变</w:t>
      </w:r>
      <w:r>
        <w:rPr>
          <w:rFonts w:hint="default" w:ascii="Times New Roman" w:hAnsi="Times New Roman" w:eastAsia="宋体" w:cs="Times New Roman"/>
          <w:color w:val="000000" w:themeColor="text1"/>
          <w:lang w:eastAsia="zh-CN"/>
          <w14:textFill>
            <w14:solidFill>
              <w14:schemeClr w14:val="tx1"/>
            </w14:solidFill>
          </w14:textFill>
        </w:rPr>
        <w:t>。</w:t>
      </w:r>
    </w:p>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25" w:name="_Toc5268"/>
      <w:r>
        <w:rPr>
          <w:rFonts w:hint="default" w:ascii="Times New Roman" w:hAnsi="Times New Roman" w:eastAsia="宋体" w:cs="Times New Roman"/>
          <w:color w:val="000000" w:themeColor="text1"/>
          <w:lang w:eastAsia="zh-CN"/>
          <w14:textFill>
            <w14:solidFill>
              <w14:schemeClr w14:val="tx1"/>
            </w14:solidFill>
          </w14:textFill>
        </w:rPr>
        <w:t>3.2废气影响分析</w:t>
      </w:r>
      <w:bookmarkEnd w:id="25"/>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.1废</w:t>
      </w:r>
      <w:r>
        <w:rPr>
          <w:rFonts w:hint="eastAsia" w:ascii="Times New Roman" w:hAnsi="Times New Roman" w:eastAsia="宋体" w:cs="Times New Roman"/>
          <w:color w:val="000000" w:themeColor="text1"/>
          <w:lang w:val="en-US" w:eastAsia="zh-CN"/>
          <w14:textFill>
            <w14:solidFill>
              <w14:schemeClr w14:val="tx1"/>
            </w14:solidFill>
          </w14:textFill>
        </w:rPr>
        <w:t>气</w:t>
      </w:r>
      <w:r>
        <w:rPr>
          <w:rFonts w:hint="default" w:ascii="Times New Roman" w:hAnsi="Times New Roman" w:eastAsia="宋体" w:cs="Times New Roman"/>
          <w:color w:val="000000" w:themeColor="text1"/>
          <w:lang w:eastAsia="zh-CN"/>
          <w14:textFill>
            <w14:solidFill>
              <w14:schemeClr w14:val="tx1"/>
            </w14:solidFill>
          </w14:textFill>
        </w:rPr>
        <w:t>污染物产生及排放情况</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本项目废气污染物产生及排放情况未发生变化。</w:t>
      </w:r>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.2影响分析</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对环境影响不变。</w:t>
      </w:r>
    </w:p>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26" w:name="_Toc14751"/>
      <w:r>
        <w:rPr>
          <w:rFonts w:hint="default" w:ascii="Times New Roman" w:hAnsi="Times New Roman" w:eastAsia="宋体" w:cs="Times New Roman"/>
          <w:color w:val="000000" w:themeColor="text1"/>
          <w:lang w:eastAsia="zh-CN"/>
          <w14:textFill>
            <w14:solidFill>
              <w14:schemeClr w14:val="tx1"/>
            </w14:solidFill>
          </w14:textFill>
        </w:rPr>
        <w:t>3.3固废影响分析</w:t>
      </w:r>
      <w:bookmarkEnd w:id="26"/>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.1固废污染物产生及排放情况</w:t>
      </w:r>
    </w:p>
    <w:p>
      <w:pPr>
        <w:pStyle w:val="6"/>
        <w:ind w:firstLine="602"/>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8"/>
          <w:szCs w:val="28"/>
          <w:lang w:val="en-US" w:eastAsia="zh-CN"/>
          <w14:textFill>
            <w14:solidFill>
              <w14:schemeClr w14:val="tx1"/>
            </w14:solidFill>
          </w14:textFill>
        </w:rPr>
        <w:t>本项目固废产生及处置方式未发生变化。</w:t>
      </w:r>
    </w:p>
    <w:p>
      <w:pPr>
        <w:pStyle w:val="6"/>
        <w:ind w:firstLine="60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.2影响分析</w:t>
      </w:r>
    </w:p>
    <w:p>
      <w:pPr>
        <w:ind w:firstLine="56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对环境影响</w:t>
      </w:r>
      <w:r>
        <w:rPr>
          <w:rFonts w:hint="eastAsia" w:ascii="Times New Roman" w:hAnsi="Times New Roman" w:eastAsia="宋体" w:cs="Times New Roman"/>
          <w:color w:val="000000" w:themeColor="text1"/>
          <w:lang w:val="en-US" w:eastAsia="zh-CN"/>
          <w14:textFill>
            <w14:solidFill>
              <w14:schemeClr w14:val="tx1"/>
            </w14:solidFill>
          </w14:textFill>
        </w:rPr>
        <w:t>不变</w:t>
      </w:r>
      <w:r>
        <w:rPr>
          <w:rFonts w:hint="default" w:ascii="Times New Roman" w:hAnsi="Times New Roman" w:eastAsia="宋体" w:cs="Times New Roman"/>
          <w:color w:val="000000" w:themeColor="text1"/>
          <w:lang w:eastAsia="zh-CN"/>
          <w14:textFill>
            <w14:solidFill>
              <w14:schemeClr w14:val="tx1"/>
            </w14:solidFill>
          </w14:textFill>
        </w:rPr>
        <w:t>。</w:t>
      </w:r>
    </w:p>
    <w:p>
      <w:pPr>
        <w:pStyle w:val="5"/>
        <w:ind w:firstLine="643"/>
        <w:rPr>
          <w:rFonts w:hint="default" w:ascii="Times New Roman" w:hAnsi="Times New Roman" w:eastAsia="宋体" w:cs="Times New Roman"/>
          <w:color w:val="000000" w:themeColor="text1"/>
          <w:lang w:eastAsia="zh-CN"/>
          <w14:textFill>
            <w14:solidFill>
              <w14:schemeClr w14:val="tx1"/>
            </w14:solidFill>
          </w14:textFill>
        </w:rPr>
      </w:pPr>
      <w:bookmarkStart w:id="27" w:name="_Toc26311"/>
      <w:r>
        <w:rPr>
          <w:rFonts w:hint="default" w:ascii="Times New Roman" w:hAnsi="Times New Roman" w:eastAsia="宋体" w:cs="Times New Roman"/>
          <w:color w:val="000000" w:themeColor="text1"/>
          <w:lang w:eastAsia="zh-CN"/>
          <w14:textFill>
            <w14:solidFill>
              <w14:schemeClr w14:val="tx1"/>
            </w14:solidFill>
          </w14:textFill>
        </w:rPr>
        <w:t>3.4噪声影响分析</w:t>
      </w:r>
      <w:bookmarkEnd w:id="27"/>
    </w:p>
    <w:p>
      <w:pPr>
        <w:ind w:firstLine="5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本项目噪声防治措施未发生变化，对周围环境影响不变。</w:t>
      </w:r>
    </w:p>
    <w:p>
      <w:pPr>
        <w:pStyle w:val="6"/>
        <w:rPr>
          <w:rFonts w:hint="default"/>
          <w:lang w:val="en-US" w:eastAsia="zh-CN"/>
        </w:rPr>
        <w:sectPr>
          <w:pgSz w:w="11920" w:h="16840"/>
          <w:pgMar w:top="1134" w:right="1800" w:bottom="1134" w:left="1800" w:header="0" w:footer="997" w:gutter="0"/>
          <w:pgBorders>
            <w:top w:val="none" w:sz="0" w:space="0"/>
            <w:left w:val="none" w:sz="0" w:space="0"/>
            <w:bottom w:val="none" w:sz="0" w:space="0"/>
            <w:right w:val="none" w:sz="0" w:space="0"/>
          </w:pgBorders>
          <w:cols w:space="720" w:num="1"/>
        </w:sectPr>
      </w:pPr>
    </w:p>
    <w:p>
      <w:pPr>
        <w:pStyle w:val="4"/>
        <w:rPr>
          <w:rFonts w:hint="default" w:ascii="Times New Roman" w:hAnsi="Times New Roman" w:eastAsia="宋体" w:cs="Times New Roman"/>
          <w:color w:val="000000" w:themeColor="text1"/>
          <w:lang w:eastAsia="zh-CN"/>
          <w14:textFill>
            <w14:solidFill>
              <w14:schemeClr w14:val="tx1"/>
            </w14:solidFill>
          </w14:textFill>
        </w:rPr>
      </w:pPr>
      <w:bookmarkStart w:id="28" w:name="_Toc18915"/>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 xml:space="preserve"> 结论</w:t>
      </w:r>
      <w:bookmarkEnd w:id="28"/>
    </w:p>
    <w:p>
      <w:pPr>
        <w:ind w:firstLine="56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本报告为已批复《</w:t>
      </w:r>
      <w:r>
        <w:rPr>
          <w:rFonts w:hint="eastAsia" w:ascii="Times New Roman" w:hAnsi="Times New Roman" w:eastAsia="宋体" w:cs="Times New Roman"/>
          <w:color w:val="000000" w:themeColor="text1"/>
          <w:lang w:eastAsia="zh-CN"/>
          <w14:textFill>
            <w14:solidFill>
              <w14:schemeClr w14:val="tx1"/>
            </w14:solidFill>
          </w14:textFill>
        </w:rPr>
        <w:t>江苏喜锐信息科技有限公司电脑键盘及5G配套FPC刚挠结合板项目</w:t>
      </w:r>
      <w:r>
        <w:rPr>
          <w:rFonts w:hint="default" w:ascii="Times New Roman" w:hAnsi="Times New Roman" w:eastAsia="宋体" w:cs="Times New Roman"/>
          <w:color w:val="000000" w:themeColor="text1"/>
          <w:lang w:eastAsia="zh-CN"/>
          <w14:textFill>
            <w14:solidFill>
              <w14:schemeClr w14:val="tx1"/>
            </w14:solidFill>
          </w14:textFill>
        </w:rPr>
        <w:t>环境影响报告》</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《江苏喜锐信息科技有限公司供热系统技术改造项目环境影响报告表》</w:t>
      </w:r>
      <w:r>
        <w:rPr>
          <w:rFonts w:hint="default" w:ascii="Times New Roman" w:hAnsi="Times New Roman" w:eastAsia="宋体" w:cs="Times New Roman"/>
          <w:color w:val="000000" w:themeColor="text1"/>
          <w:lang w:eastAsia="zh-CN"/>
          <w14:textFill>
            <w14:solidFill>
              <w14:schemeClr w14:val="tx1"/>
            </w14:solidFill>
          </w14:textFill>
        </w:rPr>
        <w:t>的变动分析报告，主要调整内容为：</w:t>
      </w:r>
    </w:p>
    <w:p>
      <w:pPr>
        <w:ind w:firstLine="560"/>
        <w:jc w:val="both"/>
        <w:rPr>
          <w:rFonts w:hint="default"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厂区平面布置变化；排气筒位置变化、雨水排口位置变化</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；应急池容积变化；</w:t>
      </w:r>
      <w:r>
        <w:rPr>
          <w:rFonts w:hint="default" w:ascii="Times New Roman" w:hAnsi="Times New Roman" w:eastAsia="宋体" w:cs="Times New Roman"/>
          <w:color w:val="000000" w:themeColor="text1"/>
          <w:lang w:eastAsia="zh-CN"/>
          <w14:textFill>
            <w14:solidFill>
              <w14:schemeClr w14:val="tx1"/>
            </w14:solidFill>
          </w14:textFill>
        </w:rPr>
        <w:t>未调整部分仍以原环评报告为准。</w:t>
      </w:r>
    </w:p>
    <w:p>
      <w:pPr>
        <w:ind w:firstLine="560"/>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本项目调整部分没有导致不利的环境影响，</w:t>
      </w:r>
      <w:r>
        <w:rPr>
          <w:rFonts w:hint="eastAsia" w:ascii="Times New Roman" w:hAnsi="Times New Roman" w:eastAsia="宋体" w:cs="Times New Roman"/>
          <w:color w:val="000000" w:themeColor="text1"/>
          <w:lang w:val="en-US" w:eastAsia="zh-CN"/>
          <w14:textFill>
            <w14:solidFill>
              <w14:schemeClr w14:val="tx1"/>
            </w14:solidFill>
          </w14:textFill>
        </w:rPr>
        <w:t>防护距离内无敏感目标</w:t>
      </w:r>
      <w:r>
        <w:rPr>
          <w:rFonts w:hint="default" w:ascii="Times New Roman" w:hAnsi="Times New Roman" w:eastAsia="宋体" w:cs="Times New Roman"/>
          <w:color w:val="000000" w:themeColor="text1"/>
          <w:lang w:eastAsia="zh-CN"/>
          <w14:textFill>
            <w14:solidFill>
              <w14:schemeClr w14:val="tx1"/>
            </w14:solidFill>
          </w14:textFill>
        </w:rPr>
        <w:t>。根据《污染影响类建设项目重大变动清单（试行）》（环办环评函[2020]688号），本项目存在变动但不属于重大变动，可纳入竣工环境保护验收管理。</w:t>
      </w:r>
    </w:p>
    <w:sectPr>
      <w:footerReference r:id="rId10" w:type="default"/>
      <w:pgSz w:w="11920" w:h="16840"/>
      <w:pgMar w:top="1440" w:right="1800" w:bottom="1440" w:left="1800" w:header="0" w:footer="997"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G Times">
    <w:altName w:val="Microsoft YaHei UI"/>
    <w:panose1 w:val="00000000000000000000"/>
    <w:charset w:val="00"/>
    <w:family w:val="roman"/>
    <w:pitch w:val="default"/>
    <w:sig w:usb0="00000000" w:usb1="00000000" w:usb2="00000000" w:usb3="00000000" w:csb0="00040001" w:csb1="00000000"/>
  </w:font>
  <w:font w:name="Microsoft YaHei UI">
    <w:panose1 w:val="020B0503020204020204"/>
    <w:charset w:val="86"/>
    <w:family w:val="auto"/>
    <w:pitch w:val="default"/>
    <w:sig w:usb0="80000287" w:usb1="2ACF3C50" w:usb2="00000016" w:usb3="00000000" w:csb0="0004001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50"/>
      </w:tabs>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50"/>
      </w:tabs>
      <w:spacing w:line="200" w:lineRule="exact"/>
      <w:rPr>
        <w:sz w:val="20"/>
        <w:szCs w:val="20"/>
      </w:rPr>
    </w:pPr>
    <w:r>
      <w:rPr>
        <w:sz w:val="20"/>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0"/>
                      <w:ind w:firstLine="36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50"/>
      </w:tabs>
      <w:spacing w:line="200" w:lineRule="exact"/>
      <w:rPr>
        <w:sz w:val="20"/>
        <w:szCs w:val="20"/>
      </w:rPr>
    </w:pPr>
    <w:r>
      <w:rPr>
        <w:sz w:val="20"/>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0"/>
                      <w:ind w:firstLine="360"/>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 w:lineRule="exact"/>
      <w:ind w:firstLine="40"/>
      <w:rPr>
        <w:sz w:val="2"/>
        <w:szCs w:val="2"/>
      </w:rPr>
    </w:pPr>
    <w:r>
      <w:rPr>
        <w:sz w:val="2"/>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19</w:t>
                    </w:r>
                    <w:r>
                      <w:fldChar w:fldCharType="end"/>
                    </w:r>
                  </w:p>
                </w:txbxContent>
              </v:textbox>
            </v:shape>
          </w:pict>
        </mc:Fallback>
      </mc:AlternateContent>
    </w:r>
  </w:p>
  <w:p>
    <w:pPr>
      <w:spacing w:line="21" w:lineRule="exact"/>
      <w:ind w:firstLine="40"/>
      <w:rPr>
        <w:sz w:val="2"/>
        <w:szCs w:val="2"/>
      </w:rPr>
    </w:pPr>
    <w:r>
      <w:rPr>
        <w:sz w:val="2"/>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rPr>
                              <w:rFonts w:eastAsia="宋体"/>
                              <w:lang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0"/>
                      <w:ind w:firstLine="360"/>
                      <w:rPr>
                        <w:rFonts w:eastAsia="宋体"/>
                        <w:lang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firstLineChars="0"/>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219F96"/>
    <w:multiLevelType w:val="singleLevel"/>
    <w:tmpl w:val="56219F96"/>
    <w:lvl w:ilvl="0" w:tentative="0">
      <w:start w:val="1"/>
      <w:numFmt w:val="bullet"/>
      <w:pStyle w:val="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lZTY4NDFmZTJlNjY1MTlkYTlhMGE5NTA2OWVjNjEifQ=="/>
  </w:docVars>
  <w:rsids>
    <w:rsidRoot w:val="00A261CB"/>
    <w:rsid w:val="002F7D72"/>
    <w:rsid w:val="003671EB"/>
    <w:rsid w:val="00376F41"/>
    <w:rsid w:val="00A261CB"/>
    <w:rsid w:val="00A80AAC"/>
    <w:rsid w:val="00A90B0E"/>
    <w:rsid w:val="00AC651F"/>
    <w:rsid w:val="00BE7B8E"/>
    <w:rsid w:val="00F703C2"/>
    <w:rsid w:val="00FC7B7D"/>
    <w:rsid w:val="012F13E5"/>
    <w:rsid w:val="015E3108"/>
    <w:rsid w:val="0168350B"/>
    <w:rsid w:val="017F68E6"/>
    <w:rsid w:val="01806E3F"/>
    <w:rsid w:val="019C2531"/>
    <w:rsid w:val="019C7DF1"/>
    <w:rsid w:val="01D23BA8"/>
    <w:rsid w:val="01F32D00"/>
    <w:rsid w:val="01F95E48"/>
    <w:rsid w:val="020350EB"/>
    <w:rsid w:val="02087541"/>
    <w:rsid w:val="024B00ED"/>
    <w:rsid w:val="02804FB3"/>
    <w:rsid w:val="02880EEC"/>
    <w:rsid w:val="029A4C64"/>
    <w:rsid w:val="02E6362D"/>
    <w:rsid w:val="03A8685F"/>
    <w:rsid w:val="03AD75BD"/>
    <w:rsid w:val="043303A9"/>
    <w:rsid w:val="045F7984"/>
    <w:rsid w:val="048710AD"/>
    <w:rsid w:val="04957A62"/>
    <w:rsid w:val="04B627E2"/>
    <w:rsid w:val="04BB3021"/>
    <w:rsid w:val="04DE2478"/>
    <w:rsid w:val="04E504C1"/>
    <w:rsid w:val="04FB5768"/>
    <w:rsid w:val="054037B5"/>
    <w:rsid w:val="05455613"/>
    <w:rsid w:val="054F1D32"/>
    <w:rsid w:val="05691807"/>
    <w:rsid w:val="05855BB4"/>
    <w:rsid w:val="05943A29"/>
    <w:rsid w:val="05D0735D"/>
    <w:rsid w:val="05DB7C65"/>
    <w:rsid w:val="05EB0A59"/>
    <w:rsid w:val="061655BE"/>
    <w:rsid w:val="0633347E"/>
    <w:rsid w:val="065B4E6C"/>
    <w:rsid w:val="06864054"/>
    <w:rsid w:val="06946E64"/>
    <w:rsid w:val="0699630A"/>
    <w:rsid w:val="06BC37D0"/>
    <w:rsid w:val="06F17106"/>
    <w:rsid w:val="06F67C90"/>
    <w:rsid w:val="07042D9C"/>
    <w:rsid w:val="072E6887"/>
    <w:rsid w:val="07361DA1"/>
    <w:rsid w:val="073D4DE1"/>
    <w:rsid w:val="074424A8"/>
    <w:rsid w:val="07457FF4"/>
    <w:rsid w:val="075B752E"/>
    <w:rsid w:val="07792067"/>
    <w:rsid w:val="07A027FC"/>
    <w:rsid w:val="07C613A7"/>
    <w:rsid w:val="080966CB"/>
    <w:rsid w:val="08137F0B"/>
    <w:rsid w:val="081C079A"/>
    <w:rsid w:val="081C4F80"/>
    <w:rsid w:val="08302B3E"/>
    <w:rsid w:val="08971BE6"/>
    <w:rsid w:val="08973AB8"/>
    <w:rsid w:val="08B35F31"/>
    <w:rsid w:val="08FE25F5"/>
    <w:rsid w:val="091A3297"/>
    <w:rsid w:val="091B5A3B"/>
    <w:rsid w:val="092C3C92"/>
    <w:rsid w:val="092E3B96"/>
    <w:rsid w:val="093A0A83"/>
    <w:rsid w:val="095606AD"/>
    <w:rsid w:val="095961B1"/>
    <w:rsid w:val="09630CAD"/>
    <w:rsid w:val="09B377A1"/>
    <w:rsid w:val="09F91C10"/>
    <w:rsid w:val="0A0215F8"/>
    <w:rsid w:val="0A386BD4"/>
    <w:rsid w:val="0A5B6842"/>
    <w:rsid w:val="0A7A0BA6"/>
    <w:rsid w:val="0AAE6E21"/>
    <w:rsid w:val="0AE11200"/>
    <w:rsid w:val="0AF15099"/>
    <w:rsid w:val="0B0C588C"/>
    <w:rsid w:val="0B3222AE"/>
    <w:rsid w:val="0B3C77B5"/>
    <w:rsid w:val="0B4740E5"/>
    <w:rsid w:val="0B596EC7"/>
    <w:rsid w:val="0B5A5F15"/>
    <w:rsid w:val="0B752127"/>
    <w:rsid w:val="0BA84174"/>
    <w:rsid w:val="0BA930E3"/>
    <w:rsid w:val="0BB0765E"/>
    <w:rsid w:val="0BB87A59"/>
    <w:rsid w:val="0BC93CFA"/>
    <w:rsid w:val="0BD03272"/>
    <w:rsid w:val="0C2632BE"/>
    <w:rsid w:val="0C2D2FC0"/>
    <w:rsid w:val="0C30226B"/>
    <w:rsid w:val="0C327D6A"/>
    <w:rsid w:val="0C5D7041"/>
    <w:rsid w:val="0C637D94"/>
    <w:rsid w:val="0C686E67"/>
    <w:rsid w:val="0C873610"/>
    <w:rsid w:val="0C910CDE"/>
    <w:rsid w:val="0C9506B9"/>
    <w:rsid w:val="0CC20C57"/>
    <w:rsid w:val="0CE02990"/>
    <w:rsid w:val="0D1A0C11"/>
    <w:rsid w:val="0D2063AC"/>
    <w:rsid w:val="0D286BF8"/>
    <w:rsid w:val="0D6D3989"/>
    <w:rsid w:val="0D701280"/>
    <w:rsid w:val="0D7D31EB"/>
    <w:rsid w:val="0D935125"/>
    <w:rsid w:val="0DA33F9D"/>
    <w:rsid w:val="0DF7018C"/>
    <w:rsid w:val="0E7832CD"/>
    <w:rsid w:val="0EA33CB8"/>
    <w:rsid w:val="0EAC270D"/>
    <w:rsid w:val="0EBD4DDE"/>
    <w:rsid w:val="0EE4281D"/>
    <w:rsid w:val="0EE811B4"/>
    <w:rsid w:val="0EF5010A"/>
    <w:rsid w:val="0F0B1DF1"/>
    <w:rsid w:val="0F0F2F8C"/>
    <w:rsid w:val="0F1B72EA"/>
    <w:rsid w:val="0F6B2B63"/>
    <w:rsid w:val="0F6D121B"/>
    <w:rsid w:val="0F6E77EC"/>
    <w:rsid w:val="0F741245"/>
    <w:rsid w:val="0F771959"/>
    <w:rsid w:val="0FA1704C"/>
    <w:rsid w:val="0FF05758"/>
    <w:rsid w:val="0FF2135E"/>
    <w:rsid w:val="10450255"/>
    <w:rsid w:val="109172F4"/>
    <w:rsid w:val="10AF4D2E"/>
    <w:rsid w:val="10BD7548"/>
    <w:rsid w:val="10C43268"/>
    <w:rsid w:val="10CA5229"/>
    <w:rsid w:val="112328A4"/>
    <w:rsid w:val="112A1FEB"/>
    <w:rsid w:val="11313EA3"/>
    <w:rsid w:val="11542B33"/>
    <w:rsid w:val="11554FBC"/>
    <w:rsid w:val="119A6B6D"/>
    <w:rsid w:val="11B875BB"/>
    <w:rsid w:val="11BD4EA9"/>
    <w:rsid w:val="11C40A8A"/>
    <w:rsid w:val="11DC515A"/>
    <w:rsid w:val="120F0D26"/>
    <w:rsid w:val="123B5CCD"/>
    <w:rsid w:val="124B3BAC"/>
    <w:rsid w:val="125A507B"/>
    <w:rsid w:val="125E1858"/>
    <w:rsid w:val="12603CBF"/>
    <w:rsid w:val="12687A30"/>
    <w:rsid w:val="12715E53"/>
    <w:rsid w:val="128A05AF"/>
    <w:rsid w:val="12A558D0"/>
    <w:rsid w:val="12CE3B2A"/>
    <w:rsid w:val="12E266A3"/>
    <w:rsid w:val="13291333"/>
    <w:rsid w:val="13614BB8"/>
    <w:rsid w:val="137857FC"/>
    <w:rsid w:val="13791D5D"/>
    <w:rsid w:val="137C3C87"/>
    <w:rsid w:val="138C7B00"/>
    <w:rsid w:val="139A3C48"/>
    <w:rsid w:val="13CB506F"/>
    <w:rsid w:val="13F32C11"/>
    <w:rsid w:val="144713C3"/>
    <w:rsid w:val="145746A5"/>
    <w:rsid w:val="14654A06"/>
    <w:rsid w:val="147F4803"/>
    <w:rsid w:val="14976752"/>
    <w:rsid w:val="1503008E"/>
    <w:rsid w:val="150A471D"/>
    <w:rsid w:val="15144848"/>
    <w:rsid w:val="15215182"/>
    <w:rsid w:val="153338BA"/>
    <w:rsid w:val="1543176E"/>
    <w:rsid w:val="15444FE3"/>
    <w:rsid w:val="15520246"/>
    <w:rsid w:val="156A3576"/>
    <w:rsid w:val="15853875"/>
    <w:rsid w:val="158C67ED"/>
    <w:rsid w:val="158D6354"/>
    <w:rsid w:val="1596050A"/>
    <w:rsid w:val="15AC5F1F"/>
    <w:rsid w:val="16183982"/>
    <w:rsid w:val="165829AE"/>
    <w:rsid w:val="16937C1A"/>
    <w:rsid w:val="169D4A12"/>
    <w:rsid w:val="16DA33E1"/>
    <w:rsid w:val="171F4D1D"/>
    <w:rsid w:val="17266C2A"/>
    <w:rsid w:val="172E240D"/>
    <w:rsid w:val="17893742"/>
    <w:rsid w:val="17E10919"/>
    <w:rsid w:val="180B43FB"/>
    <w:rsid w:val="18346D76"/>
    <w:rsid w:val="183D68B5"/>
    <w:rsid w:val="18584674"/>
    <w:rsid w:val="18EC2775"/>
    <w:rsid w:val="18FB042A"/>
    <w:rsid w:val="1929529A"/>
    <w:rsid w:val="192F78AF"/>
    <w:rsid w:val="19633E12"/>
    <w:rsid w:val="199A1704"/>
    <w:rsid w:val="19A665D9"/>
    <w:rsid w:val="19D67C78"/>
    <w:rsid w:val="19F60F7A"/>
    <w:rsid w:val="1A2439A2"/>
    <w:rsid w:val="1A304A53"/>
    <w:rsid w:val="1A307030"/>
    <w:rsid w:val="1A4561AA"/>
    <w:rsid w:val="1A603240"/>
    <w:rsid w:val="1A830071"/>
    <w:rsid w:val="1A9B1C97"/>
    <w:rsid w:val="1AB651F7"/>
    <w:rsid w:val="1AF31DA5"/>
    <w:rsid w:val="1B1F499C"/>
    <w:rsid w:val="1B752EE0"/>
    <w:rsid w:val="1B78210A"/>
    <w:rsid w:val="1BCB7B9C"/>
    <w:rsid w:val="1C20021A"/>
    <w:rsid w:val="1C321AB0"/>
    <w:rsid w:val="1C683981"/>
    <w:rsid w:val="1C774DAC"/>
    <w:rsid w:val="1C855192"/>
    <w:rsid w:val="1C8974CE"/>
    <w:rsid w:val="1C8A7FD6"/>
    <w:rsid w:val="1CEC1449"/>
    <w:rsid w:val="1CFD52D5"/>
    <w:rsid w:val="1D1A5BDA"/>
    <w:rsid w:val="1D3E34C8"/>
    <w:rsid w:val="1D597E7A"/>
    <w:rsid w:val="1D6845CC"/>
    <w:rsid w:val="1D741418"/>
    <w:rsid w:val="1D7729F4"/>
    <w:rsid w:val="1D9910CC"/>
    <w:rsid w:val="1D9D3A7C"/>
    <w:rsid w:val="1DA26F9C"/>
    <w:rsid w:val="1DA71D8B"/>
    <w:rsid w:val="1DD53386"/>
    <w:rsid w:val="1E830A60"/>
    <w:rsid w:val="1E8554F1"/>
    <w:rsid w:val="1EBB0F23"/>
    <w:rsid w:val="1EC06C69"/>
    <w:rsid w:val="1EC86AE5"/>
    <w:rsid w:val="1F2759A4"/>
    <w:rsid w:val="1F72715A"/>
    <w:rsid w:val="1F742441"/>
    <w:rsid w:val="1FA2519E"/>
    <w:rsid w:val="1FAF7F4D"/>
    <w:rsid w:val="1FDD4E79"/>
    <w:rsid w:val="200863C9"/>
    <w:rsid w:val="20216292"/>
    <w:rsid w:val="204B2B24"/>
    <w:rsid w:val="20573FCB"/>
    <w:rsid w:val="205855BE"/>
    <w:rsid w:val="205E1F0F"/>
    <w:rsid w:val="20A032DE"/>
    <w:rsid w:val="20D6518C"/>
    <w:rsid w:val="20FE5327"/>
    <w:rsid w:val="210C39FF"/>
    <w:rsid w:val="211E2DF3"/>
    <w:rsid w:val="21323904"/>
    <w:rsid w:val="216979E5"/>
    <w:rsid w:val="217206D2"/>
    <w:rsid w:val="218E09F3"/>
    <w:rsid w:val="2195573F"/>
    <w:rsid w:val="21B23F32"/>
    <w:rsid w:val="21EC4990"/>
    <w:rsid w:val="21EC5C15"/>
    <w:rsid w:val="226D2845"/>
    <w:rsid w:val="22800191"/>
    <w:rsid w:val="22AA6944"/>
    <w:rsid w:val="22B505A9"/>
    <w:rsid w:val="22BC7F6C"/>
    <w:rsid w:val="22D9394D"/>
    <w:rsid w:val="22DD5A00"/>
    <w:rsid w:val="22FD1FB2"/>
    <w:rsid w:val="232F6C32"/>
    <w:rsid w:val="23354B85"/>
    <w:rsid w:val="236F09C9"/>
    <w:rsid w:val="238B212F"/>
    <w:rsid w:val="239A3739"/>
    <w:rsid w:val="23A277F7"/>
    <w:rsid w:val="23A4227C"/>
    <w:rsid w:val="23D97A34"/>
    <w:rsid w:val="23EF0071"/>
    <w:rsid w:val="23EF3225"/>
    <w:rsid w:val="24311F0F"/>
    <w:rsid w:val="24460170"/>
    <w:rsid w:val="24480E7A"/>
    <w:rsid w:val="24683598"/>
    <w:rsid w:val="24802109"/>
    <w:rsid w:val="24FF6D2A"/>
    <w:rsid w:val="250A3B18"/>
    <w:rsid w:val="250E6884"/>
    <w:rsid w:val="253D4C07"/>
    <w:rsid w:val="25512F00"/>
    <w:rsid w:val="258B4FF4"/>
    <w:rsid w:val="25BA3FDC"/>
    <w:rsid w:val="25D837F0"/>
    <w:rsid w:val="25F06385"/>
    <w:rsid w:val="263B6ADD"/>
    <w:rsid w:val="2665680A"/>
    <w:rsid w:val="2682732D"/>
    <w:rsid w:val="269137DB"/>
    <w:rsid w:val="26986DA7"/>
    <w:rsid w:val="26A32416"/>
    <w:rsid w:val="26D14F27"/>
    <w:rsid w:val="272E24DA"/>
    <w:rsid w:val="27313C52"/>
    <w:rsid w:val="27464D60"/>
    <w:rsid w:val="277814FA"/>
    <w:rsid w:val="27826158"/>
    <w:rsid w:val="279A0611"/>
    <w:rsid w:val="27AD5EF4"/>
    <w:rsid w:val="27B13E82"/>
    <w:rsid w:val="27B53DD1"/>
    <w:rsid w:val="27C22B61"/>
    <w:rsid w:val="28373E3D"/>
    <w:rsid w:val="28442427"/>
    <w:rsid w:val="28615A35"/>
    <w:rsid w:val="286D6C40"/>
    <w:rsid w:val="2871292E"/>
    <w:rsid w:val="28754A1E"/>
    <w:rsid w:val="28862EF1"/>
    <w:rsid w:val="28906908"/>
    <w:rsid w:val="28B5560E"/>
    <w:rsid w:val="28DA2535"/>
    <w:rsid w:val="28E4596D"/>
    <w:rsid w:val="28F459A7"/>
    <w:rsid w:val="28F74952"/>
    <w:rsid w:val="28F958B0"/>
    <w:rsid w:val="29120AD2"/>
    <w:rsid w:val="293D68C5"/>
    <w:rsid w:val="294E4BD8"/>
    <w:rsid w:val="29536228"/>
    <w:rsid w:val="29690FC7"/>
    <w:rsid w:val="29926053"/>
    <w:rsid w:val="2A4401DD"/>
    <w:rsid w:val="2A5B6CC4"/>
    <w:rsid w:val="2A6C14E9"/>
    <w:rsid w:val="2A8E5B5E"/>
    <w:rsid w:val="2AA4582E"/>
    <w:rsid w:val="2AA653BC"/>
    <w:rsid w:val="2AEA5799"/>
    <w:rsid w:val="2B085EB3"/>
    <w:rsid w:val="2B182C41"/>
    <w:rsid w:val="2B2B5275"/>
    <w:rsid w:val="2B4C6E68"/>
    <w:rsid w:val="2B7D0EFF"/>
    <w:rsid w:val="2B8D1D1E"/>
    <w:rsid w:val="2B986180"/>
    <w:rsid w:val="2BDE5E26"/>
    <w:rsid w:val="2BF54679"/>
    <w:rsid w:val="2C283364"/>
    <w:rsid w:val="2C715189"/>
    <w:rsid w:val="2C7737AB"/>
    <w:rsid w:val="2C7C3140"/>
    <w:rsid w:val="2C816A85"/>
    <w:rsid w:val="2C9B7971"/>
    <w:rsid w:val="2CA13665"/>
    <w:rsid w:val="2CA476F5"/>
    <w:rsid w:val="2CA7078B"/>
    <w:rsid w:val="2CAB14E1"/>
    <w:rsid w:val="2CE01C98"/>
    <w:rsid w:val="2D670959"/>
    <w:rsid w:val="2D7D4EBA"/>
    <w:rsid w:val="2D812FA4"/>
    <w:rsid w:val="2D8C7037"/>
    <w:rsid w:val="2DAC359A"/>
    <w:rsid w:val="2DE21AD9"/>
    <w:rsid w:val="2DE3041A"/>
    <w:rsid w:val="2E054222"/>
    <w:rsid w:val="2E1B0C63"/>
    <w:rsid w:val="2E46483F"/>
    <w:rsid w:val="2E4D696D"/>
    <w:rsid w:val="2E640ED1"/>
    <w:rsid w:val="2E8927E3"/>
    <w:rsid w:val="2E9D71F2"/>
    <w:rsid w:val="2EA86284"/>
    <w:rsid w:val="2ECF7223"/>
    <w:rsid w:val="2F3F2FA2"/>
    <w:rsid w:val="2F3F45B1"/>
    <w:rsid w:val="2F5F7AE9"/>
    <w:rsid w:val="2F6F31E1"/>
    <w:rsid w:val="2F8E1D6E"/>
    <w:rsid w:val="2F9D3902"/>
    <w:rsid w:val="2FA62F95"/>
    <w:rsid w:val="2FD9485C"/>
    <w:rsid w:val="2FE4009C"/>
    <w:rsid w:val="2FE672A8"/>
    <w:rsid w:val="2FF740CD"/>
    <w:rsid w:val="306C54FA"/>
    <w:rsid w:val="30794C4E"/>
    <w:rsid w:val="308D0648"/>
    <w:rsid w:val="30CC0FA8"/>
    <w:rsid w:val="30DB3811"/>
    <w:rsid w:val="30E54159"/>
    <w:rsid w:val="30F129D1"/>
    <w:rsid w:val="30F36217"/>
    <w:rsid w:val="30F66476"/>
    <w:rsid w:val="314907ED"/>
    <w:rsid w:val="316D14C6"/>
    <w:rsid w:val="31AF76CB"/>
    <w:rsid w:val="31D20823"/>
    <w:rsid w:val="31E1270B"/>
    <w:rsid w:val="31EB76E5"/>
    <w:rsid w:val="321903D5"/>
    <w:rsid w:val="324D1EAD"/>
    <w:rsid w:val="329C2A54"/>
    <w:rsid w:val="32CB3346"/>
    <w:rsid w:val="33131EB1"/>
    <w:rsid w:val="333D1459"/>
    <w:rsid w:val="33425E71"/>
    <w:rsid w:val="334A3FCC"/>
    <w:rsid w:val="3364407A"/>
    <w:rsid w:val="337957C6"/>
    <w:rsid w:val="338011D5"/>
    <w:rsid w:val="338113AB"/>
    <w:rsid w:val="338A5EA0"/>
    <w:rsid w:val="338C77F8"/>
    <w:rsid w:val="33A90F06"/>
    <w:rsid w:val="33B1786B"/>
    <w:rsid w:val="33ED4A11"/>
    <w:rsid w:val="34322F67"/>
    <w:rsid w:val="344C2324"/>
    <w:rsid w:val="34551114"/>
    <w:rsid w:val="34575F34"/>
    <w:rsid w:val="34AF0CFA"/>
    <w:rsid w:val="34EC7370"/>
    <w:rsid w:val="350F2FBE"/>
    <w:rsid w:val="352B094C"/>
    <w:rsid w:val="355115CB"/>
    <w:rsid w:val="35686101"/>
    <w:rsid w:val="356E1A22"/>
    <w:rsid w:val="35A1528B"/>
    <w:rsid w:val="35BF2C30"/>
    <w:rsid w:val="35F24F63"/>
    <w:rsid w:val="35F4228D"/>
    <w:rsid w:val="360212D6"/>
    <w:rsid w:val="36023A12"/>
    <w:rsid w:val="361042FE"/>
    <w:rsid w:val="361C19CD"/>
    <w:rsid w:val="36400C1F"/>
    <w:rsid w:val="364E3224"/>
    <w:rsid w:val="368D2334"/>
    <w:rsid w:val="36A63A39"/>
    <w:rsid w:val="36B51DC0"/>
    <w:rsid w:val="36BA0CE2"/>
    <w:rsid w:val="36BD737E"/>
    <w:rsid w:val="36C51B78"/>
    <w:rsid w:val="36C52E75"/>
    <w:rsid w:val="371D6086"/>
    <w:rsid w:val="372B09DB"/>
    <w:rsid w:val="37304147"/>
    <w:rsid w:val="37393CE1"/>
    <w:rsid w:val="373E32E6"/>
    <w:rsid w:val="37D05632"/>
    <w:rsid w:val="381B5830"/>
    <w:rsid w:val="3821324C"/>
    <w:rsid w:val="38246302"/>
    <w:rsid w:val="38277349"/>
    <w:rsid w:val="382F3325"/>
    <w:rsid w:val="384042E0"/>
    <w:rsid w:val="38455560"/>
    <w:rsid w:val="387A1537"/>
    <w:rsid w:val="3896007C"/>
    <w:rsid w:val="389D1D97"/>
    <w:rsid w:val="38A345A1"/>
    <w:rsid w:val="38AC48E8"/>
    <w:rsid w:val="38BA0155"/>
    <w:rsid w:val="39095EEC"/>
    <w:rsid w:val="391C2E9E"/>
    <w:rsid w:val="39312A7A"/>
    <w:rsid w:val="3969293A"/>
    <w:rsid w:val="39931672"/>
    <w:rsid w:val="39AA33A6"/>
    <w:rsid w:val="39BC7365"/>
    <w:rsid w:val="39EC5701"/>
    <w:rsid w:val="39EE1F47"/>
    <w:rsid w:val="3A221720"/>
    <w:rsid w:val="3A617906"/>
    <w:rsid w:val="3A831841"/>
    <w:rsid w:val="3A98217E"/>
    <w:rsid w:val="3AB5256D"/>
    <w:rsid w:val="3ABF76C2"/>
    <w:rsid w:val="3AE85FC3"/>
    <w:rsid w:val="3B2000B1"/>
    <w:rsid w:val="3B486D51"/>
    <w:rsid w:val="3B6E7077"/>
    <w:rsid w:val="3B712C1B"/>
    <w:rsid w:val="3BCD537D"/>
    <w:rsid w:val="3BE41FE1"/>
    <w:rsid w:val="3BFC2D9F"/>
    <w:rsid w:val="3BFD1319"/>
    <w:rsid w:val="3C1B56A0"/>
    <w:rsid w:val="3C3946C9"/>
    <w:rsid w:val="3C43679D"/>
    <w:rsid w:val="3C466BAC"/>
    <w:rsid w:val="3C5A44BE"/>
    <w:rsid w:val="3C5B2B29"/>
    <w:rsid w:val="3CAC0B66"/>
    <w:rsid w:val="3CC2286A"/>
    <w:rsid w:val="3CDF5A37"/>
    <w:rsid w:val="3CE6281F"/>
    <w:rsid w:val="3D38215F"/>
    <w:rsid w:val="3D4035AE"/>
    <w:rsid w:val="3D4350AE"/>
    <w:rsid w:val="3D4723BF"/>
    <w:rsid w:val="3D6E6894"/>
    <w:rsid w:val="3D90382F"/>
    <w:rsid w:val="3DAB3CF2"/>
    <w:rsid w:val="3DC02073"/>
    <w:rsid w:val="3DE877A5"/>
    <w:rsid w:val="3E0F73E3"/>
    <w:rsid w:val="3E20386E"/>
    <w:rsid w:val="3E394FC9"/>
    <w:rsid w:val="3E3D34D6"/>
    <w:rsid w:val="3E673DC9"/>
    <w:rsid w:val="3E7C7787"/>
    <w:rsid w:val="3EED0839"/>
    <w:rsid w:val="3F2B03DA"/>
    <w:rsid w:val="3F4E0B61"/>
    <w:rsid w:val="3F5E7A1A"/>
    <w:rsid w:val="3F8E369B"/>
    <w:rsid w:val="3F9834BD"/>
    <w:rsid w:val="3FB06682"/>
    <w:rsid w:val="3FB50EEB"/>
    <w:rsid w:val="3FF52053"/>
    <w:rsid w:val="3FFF32E4"/>
    <w:rsid w:val="40234C5C"/>
    <w:rsid w:val="402970A5"/>
    <w:rsid w:val="40534C54"/>
    <w:rsid w:val="4076500D"/>
    <w:rsid w:val="408F618F"/>
    <w:rsid w:val="40A45416"/>
    <w:rsid w:val="40CD67F9"/>
    <w:rsid w:val="41093891"/>
    <w:rsid w:val="411B7CAC"/>
    <w:rsid w:val="41412ED1"/>
    <w:rsid w:val="42136350"/>
    <w:rsid w:val="423639A3"/>
    <w:rsid w:val="42E65D64"/>
    <w:rsid w:val="42F50C67"/>
    <w:rsid w:val="43416847"/>
    <w:rsid w:val="43762C41"/>
    <w:rsid w:val="437B7D2B"/>
    <w:rsid w:val="438C4372"/>
    <w:rsid w:val="43A720AD"/>
    <w:rsid w:val="43BB2973"/>
    <w:rsid w:val="43BC3ED5"/>
    <w:rsid w:val="43C86323"/>
    <w:rsid w:val="43D230BA"/>
    <w:rsid w:val="446467AD"/>
    <w:rsid w:val="44690E21"/>
    <w:rsid w:val="44A33A19"/>
    <w:rsid w:val="44BE4C82"/>
    <w:rsid w:val="44CE2396"/>
    <w:rsid w:val="453A59DD"/>
    <w:rsid w:val="456A0D13"/>
    <w:rsid w:val="457520FC"/>
    <w:rsid w:val="45841C8F"/>
    <w:rsid w:val="458E4632"/>
    <w:rsid w:val="458E619A"/>
    <w:rsid w:val="45927EC6"/>
    <w:rsid w:val="459E5E08"/>
    <w:rsid w:val="460C2E81"/>
    <w:rsid w:val="462F73B2"/>
    <w:rsid w:val="4655465D"/>
    <w:rsid w:val="46632B14"/>
    <w:rsid w:val="46815993"/>
    <w:rsid w:val="46843185"/>
    <w:rsid w:val="468F2C53"/>
    <w:rsid w:val="46946831"/>
    <w:rsid w:val="46975A85"/>
    <w:rsid w:val="46AD1D1E"/>
    <w:rsid w:val="46B7165C"/>
    <w:rsid w:val="46EB6CE5"/>
    <w:rsid w:val="470277F1"/>
    <w:rsid w:val="473D337D"/>
    <w:rsid w:val="47640C2E"/>
    <w:rsid w:val="47741C8F"/>
    <w:rsid w:val="47AF75B3"/>
    <w:rsid w:val="47B77F2C"/>
    <w:rsid w:val="47BB42CB"/>
    <w:rsid w:val="47E42C63"/>
    <w:rsid w:val="47F56B23"/>
    <w:rsid w:val="48201E42"/>
    <w:rsid w:val="484B4F6A"/>
    <w:rsid w:val="486105FF"/>
    <w:rsid w:val="48685541"/>
    <w:rsid w:val="48756FFC"/>
    <w:rsid w:val="487D2B48"/>
    <w:rsid w:val="488807E8"/>
    <w:rsid w:val="48A51964"/>
    <w:rsid w:val="48D1173A"/>
    <w:rsid w:val="48D1384E"/>
    <w:rsid w:val="494C124D"/>
    <w:rsid w:val="49C3203F"/>
    <w:rsid w:val="49D21021"/>
    <w:rsid w:val="4A0E4975"/>
    <w:rsid w:val="4A270C0A"/>
    <w:rsid w:val="4A28726D"/>
    <w:rsid w:val="4A3828B9"/>
    <w:rsid w:val="4A3E412A"/>
    <w:rsid w:val="4A4F0F96"/>
    <w:rsid w:val="4A6B4B21"/>
    <w:rsid w:val="4AA87068"/>
    <w:rsid w:val="4ABF6453"/>
    <w:rsid w:val="4AC655EE"/>
    <w:rsid w:val="4B5E7BA5"/>
    <w:rsid w:val="4B6F4A0F"/>
    <w:rsid w:val="4B842F69"/>
    <w:rsid w:val="4B877FFD"/>
    <w:rsid w:val="4B8F09AD"/>
    <w:rsid w:val="4B977977"/>
    <w:rsid w:val="4BA65F25"/>
    <w:rsid w:val="4BFF78AC"/>
    <w:rsid w:val="4C0F01AE"/>
    <w:rsid w:val="4C0F60D2"/>
    <w:rsid w:val="4C1007DF"/>
    <w:rsid w:val="4C3008B0"/>
    <w:rsid w:val="4C5C4706"/>
    <w:rsid w:val="4C6E2F22"/>
    <w:rsid w:val="4C822370"/>
    <w:rsid w:val="4C890589"/>
    <w:rsid w:val="4CAB723E"/>
    <w:rsid w:val="4CAE36A5"/>
    <w:rsid w:val="4CB330A5"/>
    <w:rsid w:val="4CB3354A"/>
    <w:rsid w:val="4CD46430"/>
    <w:rsid w:val="4CE4529F"/>
    <w:rsid w:val="4CF678D7"/>
    <w:rsid w:val="4D753DA5"/>
    <w:rsid w:val="4DA92134"/>
    <w:rsid w:val="4DF46B09"/>
    <w:rsid w:val="4DF6617F"/>
    <w:rsid w:val="4E1266E0"/>
    <w:rsid w:val="4E7A5B61"/>
    <w:rsid w:val="4E8A7E02"/>
    <w:rsid w:val="4EAC0735"/>
    <w:rsid w:val="4EBC2C7E"/>
    <w:rsid w:val="4EC75082"/>
    <w:rsid w:val="4EC874F3"/>
    <w:rsid w:val="4ECD0E26"/>
    <w:rsid w:val="4EDB2788"/>
    <w:rsid w:val="4F21537D"/>
    <w:rsid w:val="4F3D0168"/>
    <w:rsid w:val="4F464767"/>
    <w:rsid w:val="4F5924BD"/>
    <w:rsid w:val="4F714829"/>
    <w:rsid w:val="4F7E3BEA"/>
    <w:rsid w:val="4FA01559"/>
    <w:rsid w:val="4FA30CA7"/>
    <w:rsid w:val="4FE16CD7"/>
    <w:rsid w:val="4FE42DC0"/>
    <w:rsid w:val="501138EB"/>
    <w:rsid w:val="50136AFF"/>
    <w:rsid w:val="50272AE7"/>
    <w:rsid w:val="504C4CE3"/>
    <w:rsid w:val="506D5038"/>
    <w:rsid w:val="506F5608"/>
    <w:rsid w:val="508F2182"/>
    <w:rsid w:val="50930B9B"/>
    <w:rsid w:val="50972F1D"/>
    <w:rsid w:val="5097503A"/>
    <w:rsid w:val="50B130A2"/>
    <w:rsid w:val="50C513BB"/>
    <w:rsid w:val="51122B21"/>
    <w:rsid w:val="512006CF"/>
    <w:rsid w:val="512543A1"/>
    <w:rsid w:val="513B0E98"/>
    <w:rsid w:val="513E34AD"/>
    <w:rsid w:val="51460537"/>
    <w:rsid w:val="5161399D"/>
    <w:rsid w:val="51620ADD"/>
    <w:rsid w:val="518B729F"/>
    <w:rsid w:val="51C24EEB"/>
    <w:rsid w:val="51C619B9"/>
    <w:rsid w:val="51DD5063"/>
    <w:rsid w:val="521E778F"/>
    <w:rsid w:val="522C500E"/>
    <w:rsid w:val="524A625A"/>
    <w:rsid w:val="528E1A73"/>
    <w:rsid w:val="52941B59"/>
    <w:rsid w:val="52C442B1"/>
    <w:rsid w:val="52E502AF"/>
    <w:rsid w:val="52F012C7"/>
    <w:rsid w:val="53113F51"/>
    <w:rsid w:val="537171E5"/>
    <w:rsid w:val="53832600"/>
    <w:rsid w:val="53893247"/>
    <w:rsid w:val="539725BE"/>
    <w:rsid w:val="53D05154"/>
    <w:rsid w:val="53DC50DF"/>
    <w:rsid w:val="53EF3932"/>
    <w:rsid w:val="5452686B"/>
    <w:rsid w:val="548B3A77"/>
    <w:rsid w:val="54C72706"/>
    <w:rsid w:val="54D03C85"/>
    <w:rsid w:val="54D61D68"/>
    <w:rsid w:val="54E20273"/>
    <w:rsid w:val="54EA010D"/>
    <w:rsid w:val="54F24B82"/>
    <w:rsid w:val="54F80EF9"/>
    <w:rsid w:val="54FE435A"/>
    <w:rsid w:val="55101441"/>
    <w:rsid w:val="5527438D"/>
    <w:rsid w:val="553C258E"/>
    <w:rsid w:val="554450BB"/>
    <w:rsid w:val="554A1605"/>
    <w:rsid w:val="555002DC"/>
    <w:rsid w:val="556306A7"/>
    <w:rsid w:val="55737414"/>
    <w:rsid w:val="55937750"/>
    <w:rsid w:val="55AA5EA8"/>
    <w:rsid w:val="55BE574E"/>
    <w:rsid w:val="55DC7105"/>
    <w:rsid w:val="55FD48D2"/>
    <w:rsid w:val="55FF03F6"/>
    <w:rsid w:val="56212608"/>
    <w:rsid w:val="5647220A"/>
    <w:rsid w:val="5647452B"/>
    <w:rsid w:val="565C6F4F"/>
    <w:rsid w:val="567F6C91"/>
    <w:rsid w:val="568F74CB"/>
    <w:rsid w:val="569301BB"/>
    <w:rsid w:val="56CB1C00"/>
    <w:rsid w:val="56CF1201"/>
    <w:rsid w:val="56EA636F"/>
    <w:rsid w:val="56EB41C1"/>
    <w:rsid w:val="57077B11"/>
    <w:rsid w:val="571A2D72"/>
    <w:rsid w:val="5750675F"/>
    <w:rsid w:val="576D598F"/>
    <w:rsid w:val="57CA0D38"/>
    <w:rsid w:val="57D42605"/>
    <w:rsid w:val="57ED12B4"/>
    <w:rsid w:val="58185313"/>
    <w:rsid w:val="58343D91"/>
    <w:rsid w:val="583E14D6"/>
    <w:rsid w:val="58482B5E"/>
    <w:rsid w:val="58490003"/>
    <w:rsid w:val="58A93DA4"/>
    <w:rsid w:val="58C7748F"/>
    <w:rsid w:val="58D41F5E"/>
    <w:rsid w:val="58F20990"/>
    <w:rsid w:val="5909691F"/>
    <w:rsid w:val="5910110C"/>
    <w:rsid w:val="591A7010"/>
    <w:rsid w:val="5932057A"/>
    <w:rsid w:val="59333F94"/>
    <w:rsid w:val="593B6AAE"/>
    <w:rsid w:val="595B3438"/>
    <w:rsid w:val="5979684D"/>
    <w:rsid w:val="59896734"/>
    <w:rsid w:val="59A5281C"/>
    <w:rsid w:val="59C115C4"/>
    <w:rsid w:val="59F967D3"/>
    <w:rsid w:val="5A117BEE"/>
    <w:rsid w:val="5A2C3852"/>
    <w:rsid w:val="5A42319F"/>
    <w:rsid w:val="5A883B83"/>
    <w:rsid w:val="5AB4521D"/>
    <w:rsid w:val="5ABC0284"/>
    <w:rsid w:val="5AFF2944"/>
    <w:rsid w:val="5B0748E3"/>
    <w:rsid w:val="5B075668"/>
    <w:rsid w:val="5B2B3109"/>
    <w:rsid w:val="5B3560B8"/>
    <w:rsid w:val="5B3601E5"/>
    <w:rsid w:val="5B5B7DDC"/>
    <w:rsid w:val="5B6F7068"/>
    <w:rsid w:val="5B9B2D70"/>
    <w:rsid w:val="5BBF534B"/>
    <w:rsid w:val="5BC71E16"/>
    <w:rsid w:val="5BD553ED"/>
    <w:rsid w:val="5C095979"/>
    <w:rsid w:val="5C0A3382"/>
    <w:rsid w:val="5C0C2235"/>
    <w:rsid w:val="5C0F282A"/>
    <w:rsid w:val="5C4D7E72"/>
    <w:rsid w:val="5C534698"/>
    <w:rsid w:val="5C6B5B1A"/>
    <w:rsid w:val="5C874C15"/>
    <w:rsid w:val="5C8772D7"/>
    <w:rsid w:val="5C9D7ADA"/>
    <w:rsid w:val="5CBA1507"/>
    <w:rsid w:val="5CD5194F"/>
    <w:rsid w:val="5D150158"/>
    <w:rsid w:val="5D3D79C3"/>
    <w:rsid w:val="5D412C5E"/>
    <w:rsid w:val="5D4E1E44"/>
    <w:rsid w:val="5D4E2575"/>
    <w:rsid w:val="5D7C0378"/>
    <w:rsid w:val="5D7E520F"/>
    <w:rsid w:val="5D843354"/>
    <w:rsid w:val="5E115829"/>
    <w:rsid w:val="5E534055"/>
    <w:rsid w:val="5E5560CB"/>
    <w:rsid w:val="5E607270"/>
    <w:rsid w:val="5E613AEE"/>
    <w:rsid w:val="5E714B37"/>
    <w:rsid w:val="5E891DCE"/>
    <w:rsid w:val="5E987208"/>
    <w:rsid w:val="5E991BC0"/>
    <w:rsid w:val="5EA119B7"/>
    <w:rsid w:val="5EB9124F"/>
    <w:rsid w:val="5F1F0E13"/>
    <w:rsid w:val="5F496976"/>
    <w:rsid w:val="5F6E2CD8"/>
    <w:rsid w:val="5FC32A12"/>
    <w:rsid w:val="60077B71"/>
    <w:rsid w:val="603B04D0"/>
    <w:rsid w:val="60416EE8"/>
    <w:rsid w:val="60825574"/>
    <w:rsid w:val="60A2002E"/>
    <w:rsid w:val="60D9767F"/>
    <w:rsid w:val="60E5196F"/>
    <w:rsid w:val="60EA13FA"/>
    <w:rsid w:val="611F7A25"/>
    <w:rsid w:val="614918B1"/>
    <w:rsid w:val="61500C71"/>
    <w:rsid w:val="61735EA3"/>
    <w:rsid w:val="61901796"/>
    <w:rsid w:val="61ED69E9"/>
    <w:rsid w:val="62170C1D"/>
    <w:rsid w:val="623A4ABF"/>
    <w:rsid w:val="62414626"/>
    <w:rsid w:val="6255725E"/>
    <w:rsid w:val="627F514B"/>
    <w:rsid w:val="62AE092F"/>
    <w:rsid w:val="62DC5374"/>
    <w:rsid w:val="62F82F7B"/>
    <w:rsid w:val="63706E98"/>
    <w:rsid w:val="63726F43"/>
    <w:rsid w:val="637A1AB4"/>
    <w:rsid w:val="63895AE5"/>
    <w:rsid w:val="63A54A85"/>
    <w:rsid w:val="63AF24EF"/>
    <w:rsid w:val="63D0730B"/>
    <w:rsid w:val="63E61E14"/>
    <w:rsid w:val="63EF7C41"/>
    <w:rsid w:val="63F2672F"/>
    <w:rsid w:val="640242CA"/>
    <w:rsid w:val="640C1681"/>
    <w:rsid w:val="6410173B"/>
    <w:rsid w:val="642C4716"/>
    <w:rsid w:val="64646D06"/>
    <w:rsid w:val="64685143"/>
    <w:rsid w:val="64746BE2"/>
    <w:rsid w:val="648543FD"/>
    <w:rsid w:val="64911111"/>
    <w:rsid w:val="649126FF"/>
    <w:rsid w:val="64A54276"/>
    <w:rsid w:val="64B176FE"/>
    <w:rsid w:val="64B9261C"/>
    <w:rsid w:val="64BF0EBB"/>
    <w:rsid w:val="64C54308"/>
    <w:rsid w:val="64D408E3"/>
    <w:rsid w:val="64DF281A"/>
    <w:rsid w:val="64F11236"/>
    <w:rsid w:val="652629B8"/>
    <w:rsid w:val="65432D00"/>
    <w:rsid w:val="656E06CE"/>
    <w:rsid w:val="65C17AA6"/>
    <w:rsid w:val="65E5325F"/>
    <w:rsid w:val="65E53A10"/>
    <w:rsid w:val="65EB6CC4"/>
    <w:rsid w:val="65F80269"/>
    <w:rsid w:val="66082D93"/>
    <w:rsid w:val="66082EC8"/>
    <w:rsid w:val="66126373"/>
    <w:rsid w:val="662D7BC9"/>
    <w:rsid w:val="6659122B"/>
    <w:rsid w:val="6673567D"/>
    <w:rsid w:val="66914AD9"/>
    <w:rsid w:val="66957CE9"/>
    <w:rsid w:val="66EF7359"/>
    <w:rsid w:val="66FD4255"/>
    <w:rsid w:val="671F293F"/>
    <w:rsid w:val="671F4A88"/>
    <w:rsid w:val="67293058"/>
    <w:rsid w:val="67571977"/>
    <w:rsid w:val="676C1F19"/>
    <w:rsid w:val="67705CE4"/>
    <w:rsid w:val="677363A0"/>
    <w:rsid w:val="679370F1"/>
    <w:rsid w:val="67AC2D8A"/>
    <w:rsid w:val="67BD1D76"/>
    <w:rsid w:val="67E07DC5"/>
    <w:rsid w:val="67F41DF2"/>
    <w:rsid w:val="680619DD"/>
    <w:rsid w:val="68111BDA"/>
    <w:rsid w:val="6812430C"/>
    <w:rsid w:val="6851535C"/>
    <w:rsid w:val="685359D4"/>
    <w:rsid w:val="686804CD"/>
    <w:rsid w:val="68B95A89"/>
    <w:rsid w:val="68D57B2C"/>
    <w:rsid w:val="691B3178"/>
    <w:rsid w:val="6932390F"/>
    <w:rsid w:val="69360B3C"/>
    <w:rsid w:val="693D4824"/>
    <w:rsid w:val="694660D1"/>
    <w:rsid w:val="695139F2"/>
    <w:rsid w:val="69535FEC"/>
    <w:rsid w:val="696433B3"/>
    <w:rsid w:val="69774630"/>
    <w:rsid w:val="69953A46"/>
    <w:rsid w:val="69E243C4"/>
    <w:rsid w:val="6A2A1DDF"/>
    <w:rsid w:val="6A3E0EFC"/>
    <w:rsid w:val="6A9C2C67"/>
    <w:rsid w:val="6AA06574"/>
    <w:rsid w:val="6B044841"/>
    <w:rsid w:val="6B2A6951"/>
    <w:rsid w:val="6B377477"/>
    <w:rsid w:val="6B3C32DD"/>
    <w:rsid w:val="6B4B418F"/>
    <w:rsid w:val="6B991DAD"/>
    <w:rsid w:val="6BA52CE8"/>
    <w:rsid w:val="6BA958A9"/>
    <w:rsid w:val="6BC946E2"/>
    <w:rsid w:val="6BFF5048"/>
    <w:rsid w:val="6C684908"/>
    <w:rsid w:val="6C74342D"/>
    <w:rsid w:val="6CCC60FE"/>
    <w:rsid w:val="6CE42811"/>
    <w:rsid w:val="6D647CAC"/>
    <w:rsid w:val="6D7526FF"/>
    <w:rsid w:val="6D8003C5"/>
    <w:rsid w:val="6D8F676A"/>
    <w:rsid w:val="6D9561BC"/>
    <w:rsid w:val="6DA10666"/>
    <w:rsid w:val="6E1B413A"/>
    <w:rsid w:val="6E246F6F"/>
    <w:rsid w:val="6E5400CB"/>
    <w:rsid w:val="6E7159FE"/>
    <w:rsid w:val="6E77697A"/>
    <w:rsid w:val="6E8F3442"/>
    <w:rsid w:val="6EA51FA4"/>
    <w:rsid w:val="6EE03629"/>
    <w:rsid w:val="6F3455E8"/>
    <w:rsid w:val="6F5A5AA7"/>
    <w:rsid w:val="6F601D28"/>
    <w:rsid w:val="6F9E7EC7"/>
    <w:rsid w:val="70130F64"/>
    <w:rsid w:val="701E4F70"/>
    <w:rsid w:val="703845DD"/>
    <w:rsid w:val="70461939"/>
    <w:rsid w:val="70482050"/>
    <w:rsid w:val="70985E83"/>
    <w:rsid w:val="70995FB2"/>
    <w:rsid w:val="70E51715"/>
    <w:rsid w:val="71011C3F"/>
    <w:rsid w:val="711167E5"/>
    <w:rsid w:val="71315A79"/>
    <w:rsid w:val="716541B9"/>
    <w:rsid w:val="717A5FE8"/>
    <w:rsid w:val="71851062"/>
    <w:rsid w:val="71880554"/>
    <w:rsid w:val="71916E59"/>
    <w:rsid w:val="71934DEB"/>
    <w:rsid w:val="71CD002A"/>
    <w:rsid w:val="71DC1D37"/>
    <w:rsid w:val="71DF1286"/>
    <w:rsid w:val="71DF1F2A"/>
    <w:rsid w:val="72217814"/>
    <w:rsid w:val="722B66BD"/>
    <w:rsid w:val="722C6004"/>
    <w:rsid w:val="72342A68"/>
    <w:rsid w:val="726C7855"/>
    <w:rsid w:val="7275186C"/>
    <w:rsid w:val="72865F66"/>
    <w:rsid w:val="7289338A"/>
    <w:rsid w:val="728978A2"/>
    <w:rsid w:val="72897BA5"/>
    <w:rsid w:val="72E7036E"/>
    <w:rsid w:val="7314719D"/>
    <w:rsid w:val="734B3F3E"/>
    <w:rsid w:val="736E4F00"/>
    <w:rsid w:val="739B14CF"/>
    <w:rsid w:val="73BB5846"/>
    <w:rsid w:val="73E208CD"/>
    <w:rsid w:val="74426203"/>
    <w:rsid w:val="74C64488"/>
    <w:rsid w:val="74DA1EB8"/>
    <w:rsid w:val="74E03205"/>
    <w:rsid w:val="74E20A4C"/>
    <w:rsid w:val="74F45374"/>
    <w:rsid w:val="74F87B70"/>
    <w:rsid w:val="753A1296"/>
    <w:rsid w:val="753D19B2"/>
    <w:rsid w:val="754B009F"/>
    <w:rsid w:val="755004A3"/>
    <w:rsid w:val="75681368"/>
    <w:rsid w:val="757A709A"/>
    <w:rsid w:val="758D136E"/>
    <w:rsid w:val="758E4242"/>
    <w:rsid w:val="75901D96"/>
    <w:rsid w:val="75BC5347"/>
    <w:rsid w:val="75C02BDA"/>
    <w:rsid w:val="75DB18FC"/>
    <w:rsid w:val="75F73245"/>
    <w:rsid w:val="762B28AE"/>
    <w:rsid w:val="763F3623"/>
    <w:rsid w:val="76523F07"/>
    <w:rsid w:val="76812790"/>
    <w:rsid w:val="76BF4700"/>
    <w:rsid w:val="76C56103"/>
    <w:rsid w:val="76F341FB"/>
    <w:rsid w:val="773E409B"/>
    <w:rsid w:val="77634A6D"/>
    <w:rsid w:val="776608D9"/>
    <w:rsid w:val="77781A6D"/>
    <w:rsid w:val="778F6F7F"/>
    <w:rsid w:val="77971560"/>
    <w:rsid w:val="77A04093"/>
    <w:rsid w:val="77A57D37"/>
    <w:rsid w:val="77BA19AB"/>
    <w:rsid w:val="77C54BC5"/>
    <w:rsid w:val="77CD60B7"/>
    <w:rsid w:val="77DA2C4F"/>
    <w:rsid w:val="7811157B"/>
    <w:rsid w:val="78277345"/>
    <w:rsid w:val="78324EE0"/>
    <w:rsid w:val="783D2730"/>
    <w:rsid w:val="784C2185"/>
    <w:rsid w:val="786A0A15"/>
    <w:rsid w:val="786F5479"/>
    <w:rsid w:val="78800844"/>
    <w:rsid w:val="78A562B5"/>
    <w:rsid w:val="78AB303D"/>
    <w:rsid w:val="78EC1CA9"/>
    <w:rsid w:val="790E47F3"/>
    <w:rsid w:val="791819B7"/>
    <w:rsid w:val="793731FF"/>
    <w:rsid w:val="793C56F4"/>
    <w:rsid w:val="79405F80"/>
    <w:rsid w:val="79450781"/>
    <w:rsid w:val="7967623A"/>
    <w:rsid w:val="79B20FA0"/>
    <w:rsid w:val="79E1496B"/>
    <w:rsid w:val="79F04487"/>
    <w:rsid w:val="7A004314"/>
    <w:rsid w:val="7A383CED"/>
    <w:rsid w:val="7A447542"/>
    <w:rsid w:val="7A4532CE"/>
    <w:rsid w:val="7A72584D"/>
    <w:rsid w:val="7A7943B1"/>
    <w:rsid w:val="7A83701B"/>
    <w:rsid w:val="7A950565"/>
    <w:rsid w:val="7AD7305D"/>
    <w:rsid w:val="7AE85FB0"/>
    <w:rsid w:val="7AF86003"/>
    <w:rsid w:val="7B246029"/>
    <w:rsid w:val="7B4C79A8"/>
    <w:rsid w:val="7B4E1888"/>
    <w:rsid w:val="7B53662C"/>
    <w:rsid w:val="7B5D4906"/>
    <w:rsid w:val="7B981B13"/>
    <w:rsid w:val="7BB15E08"/>
    <w:rsid w:val="7BC63098"/>
    <w:rsid w:val="7C3026AE"/>
    <w:rsid w:val="7C3D69C7"/>
    <w:rsid w:val="7C4822BE"/>
    <w:rsid w:val="7C5B3098"/>
    <w:rsid w:val="7C6F132D"/>
    <w:rsid w:val="7C710730"/>
    <w:rsid w:val="7C941524"/>
    <w:rsid w:val="7CC319AB"/>
    <w:rsid w:val="7CCE14D4"/>
    <w:rsid w:val="7CD93C5B"/>
    <w:rsid w:val="7CF37949"/>
    <w:rsid w:val="7CF64840"/>
    <w:rsid w:val="7D246073"/>
    <w:rsid w:val="7D4878D2"/>
    <w:rsid w:val="7D4B7A68"/>
    <w:rsid w:val="7D642ED1"/>
    <w:rsid w:val="7D6F4C21"/>
    <w:rsid w:val="7DBF0DE0"/>
    <w:rsid w:val="7DCF5E52"/>
    <w:rsid w:val="7DE038FA"/>
    <w:rsid w:val="7DF52616"/>
    <w:rsid w:val="7DF70F04"/>
    <w:rsid w:val="7DF956CC"/>
    <w:rsid w:val="7DFB555C"/>
    <w:rsid w:val="7DFB636A"/>
    <w:rsid w:val="7E0B7E49"/>
    <w:rsid w:val="7E287408"/>
    <w:rsid w:val="7E5554DA"/>
    <w:rsid w:val="7E587DEB"/>
    <w:rsid w:val="7E5E111E"/>
    <w:rsid w:val="7E70179D"/>
    <w:rsid w:val="7E914756"/>
    <w:rsid w:val="7E9A4264"/>
    <w:rsid w:val="7EC90148"/>
    <w:rsid w:val="7ED65CAD"/>
    <w:rsid w:val="7EE96AAC"/>
    <w:rsid w:val="7F2B3188"/>
    <w:rsid w:val="7F59386E"/>
    <w:rsid w:val="7F6A1297"/>
    <w:rsid w:val="7F8B1272"/>
    <w:rsid w:val="7FAC08A6"/>
    <w:rsid w:val="7FAE7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00" w:firstLineChars="200"/>
    </w:pPr>
    <w:rPr>
      <w:rFonts w:eastAsia="仿宋_GB2312" w:asciiTheme="minorHAnsi" w:hAnsiTheme="minorHAnsi" w:cstheme="minorBidi"/>
      <w:sz w:val="28"/>
      <w:szCs w:val="22"/>
      <w:lang w:val="en-US" w:eastAsia="en-US" w:bidi="ar-SA"/>
    </w:rPr>
  </w:style>
  <w:style w:type="paragraph" w:styleId="4">
    <w:name w:val="heading 1"/>
    <w:basedOn w:val="1"/>
    <w:next w:val="1"/>
    <w:link w:val="24"/>
    <w:qFormat/>
    <w:uiPriority w:val="9"/>
    <w:pPr>
      <w:keepNext/>
      <w:keepLines/>
      <w:spacing w:after="20"/>
      <w:ind w:firstLine="0" w:firstLineChars="0"/>
      <w:outlineLvl w:val="0"/>
    </w:pPr>
    <w:rPr>
      <w:b/>
      <w:kern w:val="44"/>
      <w:sz w:val="36"/>
    </w:rPr>
  </w:style>
  <w:style w:type="paragraph" w:styleId="5">
    <w:name w:val="heading 2"/>
    <w:basedOn w:val="1"/>
    <w:next w:val="1"/>
    <w:unhideWhenUsed/>
    <w:qFormat/>
    <w:uiPriority w:val="9"/>
    <w:pPr>
      <w:keepNext/>
      <w:keepLines/>
      <w:outlineLvl w:val="1"/>
    </w:pPr>
    <w:rPr>
      <w:rFonts w:ascii="Arial" w:hAnsi="Arial"/>
      <w:b/>
      <w:sz w:val="32"/>
    </w:rPr>
  </w:style>
  <w:style w:type="paragraph" w:styleId="6">
    <w:name w:val="heading 3"/>
    <w:basedOn w:val="1"/>
    <w:next w:val="1"/>
    <w:unhideWhenUsed/>
    <w:qFormat/>
    <w:uiPriority w:val="9"/>
    <w:pPr>
      <w:keepNext/>
      <w:keepLines/>
      <w:outlineLvl w:val="2"/>
    </w:pPr>
    <w:rPr>
      <w:b/>
      <w:sz w:val="30"/>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List Bullet 5"/>
    <w:basedOn w:val="1"/>
    <w:semiHidden/>
    <w:unhideWhenUsed/>
    <w:qFormat/>
    <w:uiPriority w:val="99"/>
    <w:pPr>
      <w:numPr>
        <w:ilvl w:val="0"/>
        <w:numId w:val="1"/>
      </w:numPr>
    </w:pPr>
  </w:style>
  <w:style w:type="paragraph" w:styleId="7">
    <w:name w:val="Normal Indent"/>
    <w:basedOn w:val="1"/>
    <w:qFormat/>
    <w:uiPriority w:val="0"/>
    <w:pPr>
      <w:ind w:firstLine="420"/>
    </w:pPr>
    <w:rPr>
      <w:lang w:eastAsia="zh-CN"/>
    </w:rPr>
  </w:style>
  <w:style w:type="paragraph" w:styleId="8">
    <w:name w:val="annotation text"/>
    <w:basedOn w:val="1"/>
    <w:semiHidden/>
    <w:unhideWhenUsed/>
    <w:qFormat/>
    <w:uiPriority w:val="99"/>
  </w:style>
  <w:style w:type="paragraph" w:styleId="9">
    <w:name w:val="Body Text Indent"/>
    <w:basedOn w:val="1"/>
    <w:next w:val="7"/>
    <w:qFormat/>
    <w:uiPriority w:val="0"/>
    <w:pPr>
      <w:ind w:firstLine="560"/>
    </w:pPr>
    <w:rPr>
      <w:rFonts w:ascii="CG Times" w:hAnsi="CG Times"/>
    </w:rPr>
  </w:style>
  <w:style w:type="paragraph" w:styleId="10">
    <w:name w:val="footer"/>
    <w:basedOn w:val="1"/>
    <w:semiHidden/>
    <w:unhideWhenUsed/>
    <w:qFormat/>
    <w:uiPriority w:val="99"/>
    <w:pPr>
      <w:tabs>
        <w:tab w:val="center" w:pos="4153"/>
        <w:tab w:val="right" w:pos="8306"/>
      </w:tabs>
      <w:snapToGrid w:val="0"/>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2">
    <w:name w:val="toc 1"/>
    <w:basedOn w:val="1"/>
    <w:next w:val="1"/>
    <w:semiHidden/>
    <w:unhideWhenUsed/>
    <w:qFormat/>
    <w:uiPriority w:val="39"/>
  </w:style>
  <w:style w:type="paragraph" w:styleId="13">
    <w:name w:val="toc 2"/>
    <w:basedOn w:val="1"/>
    <w:next w:val="1"/>
    <w:semiHidden/>
    <w:unhideWhenUsed/>
    <w:qFormat/>
    <w:uiPriority w:val="39"/>
    <w:pPr>
      <w:ind w:left="420" w:leftChars="200"/>
    </w:pPr>
  </w:style>
  <w:style w:type="paragraph" w:styleId="14">
    <w:name w:val="Normal (Web)"/>
    <w:basedOn w:val="1"/>
    <w:semiHidden/>
    <w:unhideWhenUsed/>
    <w:qFormat/>
    <w:uiPriority w:val="99"/>
    <w:pPr>
      <w:spacing w:beforeAutospacing="1" w:afterAutospacing="1"/>
    </w:pPr>
    <w:rPr>
      <w:rFonts w:cs="Times New Roman"/>
      <w:sz w:val="24"/>
      <w:lang w:eastAsia="zh-CN"/>
    </w:rPr>
  </w:style>
  <w:style w:type="paragraph" w:styleId="15">
    <w:name w:val="Body Text First Indent 2"/>
    <w:basedOn w:val="9"/>
    <w:next w:val="16"/>
    <w:qFormat/>
    <w:uiPriority w:val="0"/>
    <w:pPr>
      <w:spacing w:after="120"/>
      <w:ind w:left="420" w:leftChars="200" w:firstLine="420"/>
    </w:pPr>
    <w:rPr>
      <w:rFonts w:ascii="Times New Roman" w:hAnsi="Times New Roman" w:eastAsia="宋体"/>
      <w:sz w:val="21"/>
      <w:szCs w:val="24"/>
    </w:rPr>
  </w:style>
  <w:style w:type="paragraph" w:customStyle="1" w:styleId="16">
    <w:name w:val="Default"/>
    <w:basedOn w:val="17"/>
    <w:qFormat/>
    <w:uiPriority w:val="0"/>
    <w:pPr>
      <w:widowControl w:val="0"/>
      <w:autoSpaceDE w:val="0"/>
      <w:autoSpaceDN w:val="0"/>
      <w:adjustRightInd w:val="0"/>
    </w:pPr>
    <w:rPr>
      <w:rFonts w:ascii="宋体" w:hAnsi="Calibri" w:eastAsia="宋体" w:cs="宋体"/>
      <w:color w:val="000000"/>
      <w:sz w:val="24"/>
    </w:rPr>
  </w:style>
  <w:style w:type="paragraph" w:customStyle="1" w:styleId="17">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basedOn w:val="20"/>
    <w:semiHidden/>
    <w:unhideWhenUsed/>
    <w:qFormat/>
    <w:uiPriority w:val="99"/>
    <w:rPr>
      <w:color w:val="800080"/>
      <w:u w:val="none"/>
    </w:rPr>
  </w:style>
  <w:style w:type="character" w:styleId="22">
    <w:name w:val="Hyperlink"/>
    <w:basedOn w:val="20"/>
    <w:semiHidden/>
    <w:unhideWhenUsed/>
    <w:qFormat/>
    <w:uiPriority w:val="99"/>
    <w:rPr>
      <w:color w:val="0000FF"/>
      <w:u w:val="none"/>
    </w:rPr>
  </w:style>
  <w:style w:type="paragraph" w:customStyle="1" w:styleId="23">
    <w:name w:val="正文首行缩进  2字符"/>
    <w:basedOn w:val="1"/>
    <w:qFormat/>
    <w:uiPriority w:val="0"/>
    <w:pPr>
      <w:widowControl/>
      <w:spacing w:line="360" w:lineRule="auto"/>
      <w:ind w:firstLine="480" w:firstLineChars="200"/>
      <w:jc w:val="left"/>
    </w:pPr>
    <w:rPr>
      <w:rFonts w:ascii="Times New Roman" w:hAnsi="Times New Roman"/>
      <w:sz w:val="24"/>
      <w:szCs w:val="20"/>
    </w:rPr>
  </w:style>
  <w:style w:type="character" w:customStyle="1" w:styleId="24">
    <w:name w:val="标题 1 Char"/>
    <w:link w:val="4"/>
    <w:qFormat/>
    <w:uiPriority w:val="9"/>
    <w:rPr>
      <w:rFonts w:eastAsia="仿宋_GB2312"/>
      <w:b/>
      <w:kern w:val="44"/>
      <w:sz w:val="36"/>
    </w:rPr>
  </w:style>
  <w:style w:type="paragraph" w:customStyle="1" w:styleId="25">
    <w:name w:val="表格"/>
    <w:basedOn w:val="1"/>
    <w:next w:val="1"/>
    <w:qFormat/>
    <w:uiPriority w:val="0"/>
    <w:pPr>
      <w:spacing w:line="240" w:lineRule="auto"/>
      <w:ind w:firstLine="0" w:firstLineChars="0"/>
      <w:jc w:val="center"/>
    </w:pPr>
    <w:rPr>
      <w:sz w:val="21"/>
    </w:rPr>
  </w:style>
  <w:style w:type="paragraph" w:customStyle="1" w:styleId="26">
    <w:name w:val="Body text|2"/>
    <w:basedOn w:val="1"/>
    <w:qFormat/>
    <w:uiPriority w:val="0"/>
    <w:pPr>
      <w:shd w:val="clear" w:color="auto" w:fill="FFFFFF"/>
      <w:spacing w:line="356" w:lineRule="exact"/>
    </w:pPr>
    <w:rPr>
      <w:rFonts w:ascii="PMingLiU" w:hAnsi="PMingLiU" w:eastAsia="PMingLiU" w:cs="PMingLiU"/>
      <w:spacing w:val="30"/>
      <w:sz w:val="22"/>
    </w:rPr>
  </w:style>
  <w:style w:type="paragraph" w:customStyle="1" w:styleId="27">
    <w:name w:val="Body text|5"/>
    <w:basedOn w:val="1"/>
    <w:qFormat/>
    <w:uiPriority w:val="0"/>
    <w:pPr>
      <w:shd w:val="clear" w:color="auto" w:fill="FFFFFF"/>
      <w:spacing w:line="356" w:lineRule="exact"/>
      <w:ind w:firstLine="500"/>
      <w:jc w:val="distribute"/>
    </w:pPr>
    <w:rPr>
      <w:rFonts w:ascii="PMingLiU" w:hAnsi="PMingLiU" w:eastAsia="PMingLiU" w:cs="PMingLiU"/>
      <w:spacing w:val="30"/>
      <w:sz w:val="22"/>
    </w:rPr>
  </w:style>
  <w:style w:type="character" w:customStyle="1" w:styleId="28">
    <w:name w:val="font61"/>
    <w:basedOn w:val="20"/>
    <w:qFormat/>
    <w:uiPriority w:val="0"/>
    <w:rPr>
      <w:rFonts w:hint="eastAsia" w:ascii="宋体" w:hAnsi="宋体" w:eastAsia="宋体" w:cs="宋体"/>
      <w:b/>
      <w:color w:val="000000"/>
      <w:sz w:val="21"/>
      <w:szCs w:val="21"/>
      <w:u w:val="none"/>
    </w:rPr>
  </w:style>
  <w:style w:type="paragraph" w:customStyle="1" w:styleId="29">
    <w:name w:val="Table Paragraph"/>
    <w:basedOn w:val="1"/>
    <w:qFormat/>
    <w:uiPriority w:val="1"/>
    <w:pPr>
      <w:spacing w:before="100" w:beforeAutospacing="1"/>
    </w:pPr>
    <w:rPr>
      <w:rFonts w:ascii="Calibri" w:hAnsi="Calibri"/>
      <w:sz w:val="22"/>
    </w:rPr>
  </w:style>
  <w:style w:type="paragraph" w:customStyle="1" w:styleId="30">
    <w:name w:val="Char Char Char Char Char Char Char Char Char1 Char"/>
    <w:basedOn w:val="1"/>
    <w:qFormat/>
    <w:uiPriority w:val="0"/>
    <w:rPr>
      <w:sz w:val="24"/>
    </w:rPr>
  </w:style>
  <w:style w:type="paragraph" w:styleId="31">
    <w:name w:val="List Paragraph"/>
    <w:basedOn w:val="1"/>
    <w:qFormat/>
    <w:uiPriority w:val="34"/>
    <w:pPr>
      <w:ind w:firstLine="420"/>
    </w:p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4">
    <w:name w:val="样式3"/>
    <w:basedOn w:val="1"/>
    <w:qFormat/>
    <w:uiPriority w:val="0"/>
    <w:pPr>
      <w:widowControl/>
      <w:jc w:val="center"/>
    </w:pPr>
    <w:rPr>
      <w:kern w:val="0"/>
      <w:szCs w:val="20"/>
    </w:rPr>
  </w:style>
  <w:style w:type="table" w:customStyle="1" w:styleId="3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9537</Words>
  <Characters>10900</Characters>
  <Lines>74</Lines>
  <Paragraphs>21</Paragraphs>
  <TotalTime>2</TotalTime>
  <ScaleCrop>false</ScaleCrop>
  <LinksUpToDate>false</LinksUpToDate>
  <CharactersWithSpaces>11005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2019-06-10T16:24:00Z</dcterms:created>
  <dc:creator>微软用户</dc:creator>
  <cp:lastModifiedBy>雩风</cp:lastModifiedBy>
  <cp:lastPrinted>2021-11-18T00:40:00Z</cp:lastPrinted>
  <dcterms:modified xsi:type="dcterms:W3CDTF">2022-09-23T18:33:36Z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2019-01-07T00:00:00Z</vt:filetime>
  </property>
  <property fmtid="{D5CDD505-2E9C-101B-9397-08002B2CF9AE}" pid="3" name="LastSaved">
    <vt:filetime>2019-06-10T00:00:00Z</vt:filetime>
  </property>
  <property fmtid="{D5CDD505-2E9C-101B-9397-08002B2CF9AE}" pid="4" name="KSOProductBuildVer">
    <vt:lpwstr>2052-11.1.0.12358</vt:lpwstr>
  </property>
  <property fmtid="{D5CDD505-2E9C-101B-9397-08002B2CF9AE}" pid="5" name="ICV">
    <vt:lpwstr>69B401F945704E60816EE405305C8C7F</vt:lpwstr>
  </property>
</Properties>
</file>