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4" w:firstLineChars="202"/>
        <w:jc w:val="left"/>
        <w:rPr>
          <w:rFonts w:hint="default" w:ascii="Times New Roman" w:hAnsi="Times New Roman" w:eastAsia="宋体" w:cs="Times New Roman"/>
          <w:color w:val="auto"/>
          <w:szCs w:val="21"/>
        </w:rPr>
      </w:pPr>
    </w:p>
    <w:p>
      <w:pPr>
        <w:spacing w:line="360" w:lineRule="auto"/>
        <w:jc w:val="center"/>
        <w:rPr>
          <w:rFonts w:hint="default" w:ascii="Times New Roman" w:hAnsi="Times New Roman" w:eastAsia="宋体" w:cs="Times New Roman"/>
          <w:color w:val="auto"/>
          <w:sz w:val="40"/>
          <w:szCs w:val="40"/>
          <w:lang w:eastAsia="zh-CN"/>
        </w:rPr>
      </w:pPr>
      <w:r>
        <w:rPr>
          <w:rFonts w:hint="default" w:ascii="Times New Roman" w:hAnsi="Times New Roman" w:eastAsia="宋体" w:cs="Times New Roman"/>
          <w:color w:val="auto"/>
          <w:sz w:val="40"/>
          <w:szCs w:val="40"/>
          <w:lang w:eastAsia="zh-CN"/>
        </w:rPr>
        <w:t>江苏喜锐信息科技有限公司</w:t>
      </w:r>
    </w:p>
    <w:p>
      <w:pPr>
        <w:spacing w:line="360" w:lineRule="auto"/>
        <w:jc w:val="center"/>
        <w:rPr>
          <w:rFonts w:hint="default" w:ascii="Times New Roman" w:hAnsi="Times New Roman" w:eastAsia="宋体" w:cs="Times New Roman"/>
          <w:color w:val="auto"/>
          <w:sz w:val="40"/>
          <w:szCs w:val="40"/>
          <w:lang w:eastAsia="zh-CN"/>
        </w:rPr>
      </w:pPr>
      <w:r>
        <w:rPr>
          <w:rFonts w:hint="default" w:ascii="Times New Roman" w:hAnsi="Times New Roman" w:eastAsia="宋体" w:cs="Times New Roman"/>
          <w:color w:val="auto"/>
          <w:sz w:val="40"/>
          <w:szCs w:val="40"/>
          <w:lang w:eastAsia="zh-CN"/>
        </w:rPr>
        <w:t>电脑键盘及5G配套FPC刚挠结合板项目</w:t>
      </w:r>
    </w:p>
    <w:p>
      <w:pPr>
        <w:spacing w:line="360" w:lineRule="auto"/>
        <w:jc w:val="center"/>
        <w:rPr>
          <w:rFonts w:hint="default" w:ascii="Times New Roman" w:hAnsi="Times New Roman" w:eastAsia="宋体" w:cs="Times New Roman"/>
          <w:color w:val="auto"/>
          <w:sz w:val="36"/>
          <w:szCs w:val="36"/>
          <w:lang w:val="en-US" w:eastAsia="zh-CN"/>
        </w:rPr>
      </w:pPr>
      <w:r>
        <w:rPr>
          <w:rFonts w:hint="default" w:ascii="Times New Roman" w:hAnsi="Times New Roman" w:eastAsia="宋体" w:cs="Times New Roman"/>
          <w:color w:val="auto"/>
          <w:sz w:val="36"/>
          <w:szCs w:val="36"/>
          <w:lang w:val="en-US" w:eastAsia="zh-CN"/>
        </w:rPr>
        <w:t>（年产挠性板17.5万m²、刚挠结合板7.5万m²部分）</w:t>
      </w:r>
    </w:p>
    <w:p>
      <w:pPr>
        <w:spacing w:line="360" w:lineRule="auto"/>
        <w:jc w:val="center"/>
        <w:rPr>
          <w:rFonts w:hint="default" w:ascii="Times New Roman" w:hAnsi="Times New Roman" w:eastAsia="宋体" w:cs="Times New Roman"/>
          <w:color w:val="auto"/>
          <w:sz w:val="40"/>
          <w:szCs w:val="40"/>
          <w:lang w:val="en-US" w:eastAsia="zh-CN"/>
        </w:rPr>
      </w:pPr>
      <w:r>
        <w:rPr>
          <w:rFonts w:hint="default" w:ascii="Times New Roman" w:hAnsi="Times New Roman" w:eastAsia="宋体" w:cs="Times New Roman"/>
          <w:color w:val="auto"/>
          <w:sz w:val="40"/>
          <w:szCs w:val="40"/>
          <w:lang w:val="en-US" w:eastAsia="zh-CN"/>
        </w:rPr>
        <w:t>供热系统技术改造项目</w:t>
      </w:r>
    </w:p>
    <w:p>
      <w:pPr>
        <w:spacing w:line="360" w:lineRule="auto"/>
        <w:jc w:val="center"/>
        <w:rPr>
          <w:rFonts w:hint="default" w:ascii="Times New Roman" w:hAnsi="Times New Roman" w:eastAsia="宋体" w:cs="Times New Roman"/>
          <w:color w:val="auto"/>
          <w:sz w:val="40"/>
          <w:szCs w:val="40"/>
        </w:rPr>
      </w:pPr>
      <w:r>
        <w:rPr>
          <w:rFonts w:hint="default" w:ascii="Times New Roman" w:hAnsi="Times New Roman" w:eastAsia="宋体" w:cs="Times New Roman"/>
          <w:color w:val="auto"/>
          <w:sz w:val="40"/>
          <w:szCs w:val="40"/>
        </w:rPr>
        <w:t>竣工环境保护自</w:t>
      </w:r>
      <w:r>
        <w:rPr>
          <w:rFonts w:hint="default" w:ascii="Times New Roman" w:hAnsi="Times New Roman" w:eastAsia="宋体" w:cs="Times New Roman"/>
          <w:color w:val="auto"/>
          <w:sz w:val="40"/>
          <w:szCs w:val="40"/>
          <w:lang w:val="en-US" w:eastAsia="zh-CN"/>
        </w:rPr>
        <w:t>行</w:t>
      </w:r>
      <w:r>
        <w:rPr>
          <w:rFonts w:hint="default" w:ascii="Times New Roman" w:hAnsi="Times New Roman" w:eastAsia="宋体" w:cs="Times New Roman"/>
          <w:color w:val="auto"/>
          <w:sz w:val="40"/>
          <w:szCs w:val="40"/>
        </w:rPr>
        <w:t>验收意见</w:t>
      </w:r>
    </w:p>
    <w:p>
      <w:pPr>
        <w:ind w:firstLine="424" w:firstLineChars="202"/>
        <w:jc w:val="left"/>
        <w:rPr>
          <w:rFonts w:hint="default" w:ascii="Times New Roman" w:hAnsi="Times New Roman" w:eastAsia="宋体" w:cs="Times New Roman"/>
          <w:color w:val="auto"/>
          <w:szCs w:val="21"/>
        </w:rPr>
      </w:pPr>
    </w:p>
    <w:p>
      <w:pPr>
        <w:spacing w:line="360" w:lineRule="auto"/>
        <w:ind w:firstLine="480" w:firstLineChars="200"/>
        <w:rPr>
          <w:rFonts w:hint="default" w:ascii="Times New Roman" w:hAnsi="Times New Roman" w:eastAsia="宋体" w:cs="Times New Roman"/>
          <w:color w:val="auto"/>
          <w:sz w:val="24"/>
          <w:lang w:eastAsia="zh-CN"/>
        </w:rPr>
      </w:pPr>
      <w:r>
        <w:rPr>
          <w:rFonts w:hint="eastAsia" w:ascii="Times New Roman" w:hAnsi="Times New Roman" w:eastAsia="宋体" w:cs="Times New Roman"/>
          <w:color w:val="auto"/>
          <w:sz w:val="24"/>
          <w:highlight w:val="none"/>
          <w:lang w:eastAsia="zh-CN"/>
        </w:rPr>
        <w:t>江苏喜锐信息科技有限公司</w:t>
      </w:r>
      <w:r>
        <w:rPr>
          <w:rFonts w:hint="default" w:ascii="Times New Roman" w:hAnsi="Times New Roman" w:eastAsia="宋体" w:cs="Times New Roman"/>
          <w:color w:val="auto"/>
          <w:sz w:val="24"/>
          <w:highlight w:val="none"/>
          <w:lang w:eastAsia="zh-CN"/>
        </w:rPr>
        <w:t>根据</w:t>
      </w:r>
      <w:r>
        <w:rPr>
          <w:rFonts w:hint="default" w:ascii="Times New Roman" w:hAnsi="Times New Roman" w:eastAsia="宋体" w:cs="Times New Roman"/>
          <w:color w:val="auto"/>
          <w:sz w:val="24"/>
          <w:lang w:eastAsia="zh-CN"/>
        </w:rPr>
        <w:t>《建设项目竣工环境保护验收暂行办法》，严格依照国</w:t>
      </w:r>
      <w:r>
        <w:rPr>
          <w:rFonts w:hint="default" w:ascii="Times New Roman" w:hAnsi="Times New Roman" w:eastAsia="宋体" w:cs="Times New Roman"/>
          <w:color w:val="auto"/>
          <w:sz w:val="24"/>
        </w:rPr>
        <w:t>家有关法律法规、建设项目竣工环境保护验收技术规范、本项目环境影响评价报告书（表）和审批部门审批决定等要求对本项目进行验收，在综合参考咨询单位和专家意见的基础上，</w:t>
      </w:r>
      <w:r>
        <w:rPr>
          <w:rFonts w:hint="default" w:ascii="Times New Roman" w:hAnsi="Times New Roman" w:eastAsia="宋体" w:cs="Times New Roman"/>
          <w:color w:val="auto"/>
          <w:sz w:val="24"/>
          <w:lang w:val="en-US" w:eastAsia="zh-CN"/>
        </w:rPr>
        <w:t>作</w:t>
      </w:r>
      <w:r>
        <w:rPr>
          <w:rFonts w:hint="default" w:ascii="Times New Roman" w:hAnsi="Times New Roman" w:eastAsia="宋体" w:cs="Times New Roman"/>
          <w:color w:val="auto"/>
          <w:sz w:val="24"/>
        </w:rPr>
        <w:t>出本项目验收意见如下</w:t>
      </w:r>
      <w:r>
        <w:rPr>
          <w:rFonts w:hint="default" w:ascii="Times New Roman" w:hAnsi="Times New Roman" w:eastAsia="宋体" w:cs="Times New Roman"/>
          <w:color w:val="auto"/>
          <w:sz w:val="24"/>
          <w:lang w:eastAsia="zh-CN"/>
        </w:rPr>
        <w:t>：</w:t>
      </w:r>
    </w:p>
    <w:p>
      <w:pPr>
        <w:shd w:val="clear" w:color="auto" w:fill="FFFFFF"/>
        <w:spacing w:line="360" w:lineRule="auto"/>
        <w:ind w:firstLine="480" w:firstLineChars="200"/>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一、工程建设基本情况</w:t>
      </w:r>
    </w:p>
    <w:p>
      <w:pPr>
        <w:shd w:val="clear" w:color="auto" w:fill="FFFFFF"/>
        <w:spacing w:line="360" w:lineRule="auto"/>
        <w:ind w:firstLine="480" w:firstLineChars="200"/>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（一）建设地点、规模、主要建设内容</w:t>
      </w:r>
    </w:p>
    <w:p>
      <w:pPr>
        <w:spacing w:line="360" w:lineRule="auto"/>
        <w:ind w:firstLine="480" w:firstLineChars="200"/>
        <w:rPr>
          <w:rFonts w:hint="default"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val="en-US" w:eastAsia="zh-CN"/>
        </w:rPr>
        <w:t>江苏喜锐信息科技有限公司位于东台市经济开发区红星河路西侧，东区五路北侧</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highlight w:val="none"/>
          <w:lang w:eastAsia="zh-CN"/>
        </w:rPr>
        <w:t>20</w:t>
      </w:r>
      <w:r>
        <w:rPr>
          <w:rFonts w:hint="eastAsia" w:ascii="Times New Roman" w:hAnsi="Times New Roman" w:eastAsia="宋体" w:cs="Times New Roman"/>
          <w:color w:val="auto"/>
          <w:sz w:val="24"/>
          <w:highlight w:val="none"/>
          <w:lang w:val="en-US" w:eastAsia="zh-CN"/>
        </w:rPr>
        <w:t>21</w:t>
      </w:r>
      <w:r>
        <w:rPr>
          <w:rFonts w:hint="default" w:ascii="Times New Roman" w:hAnsi="Times New Roman" w:eastAsia="宋体" w:cs="Times New Roman"/>
          <w:color w:val="auto"/>
          <w:sz w:val="24"/>
          <w:highlight w:val="none"/>
          <w:lang w:eastAsia="zh-CN"/>
        </w:rPr>
        <w:t>年</w:t>
      </w:r>
      <w:r>
        <w:rPr>
          <w:rFonts w:hint="default" w:ascii="Times New Roman" w:hAnsi="Times New Roman" w:eastAsia="宋体" w:cs="Times New Roman"/>
          <w:color w:val="auto"/>
          <w:sz w:val="24"/>
          <w:highlight w:val="none"/>
          <w:lang w:val="en-US" w:eastAsia="zh-CN"/>
        </w:rPr>
        <w:t>投资</w:t>
      </w:r>
      <w:r>
        <w:rPr>
          <w:rFonts w:hint="eastAsia" w:ascii="Times New Roman" w:hAnsi="Times New Roman" w:eastAsia="宋体" w:cs="Times New Roman"/>
          <w:color w:val="auto"/>
          <w:sz w:val="24"/>
          <w:highlight w:val="none"/>
          <w:lang w:val="en-US" w:eastAsia="zh-CN"/>
        </w:rPr>
        <w:t>60000</w:t>
      </w:r>
      <w:r>
        <w:rPr>
          <w:rFonts w:hint="default" w:ascii="Times New Roman" w:hAnsi="Times New Roman" w:eastAsia="宋体" w:cs="Times New Roman"/>
          <w:color w:val="auto"/>
          <w:sz w:val="24"/>
          <w:highlight w:val="none"/>
          <w:lang w:val="en-US" w:eastAsia="zh-CN"/>
        </w:rPr>
        <w:t>万元</w:t>
      </w:r>
      <w:r>
        <w:rPr>
          <w:rFonts w:hint="default" w:ascii="Times New Roman" w:hAnsi="Times New Roman" w:eastAsia="宋体" w:cs="Times New Roman"/>
          <w:color w:val="auto"/>
          <w:sz w:val="24"/>
          <w:lang w:eastAsia="zh-CN"/>
        </w:rPr>
        <w:t>建设</w:t>
      </w:r>
      <w:r>
        <w:rPr>
          <w:rFonts w:hint="default" w:ascii="Times New Roman" w:hAnsi="Times New Roman" w:eastAsia="宋体" w:cs="Times New Roman"/>
          <w:color w:val="auto"/>
          <w:sz w:val="24"/>
          <w:lang w:val="en-US" w:eastAsia="zh-CN"/>
        </w:rPr>
        <w:t>电脑键盘及5G配套FPC刚挠结合板项目及供热系统技术改造项目</w:t>
      </w:r>
      <w:r>
        <w:rPr>
          <w:rFonts w:hint="default" w:ascii="Times New Roman" w:hAnsi="Times New Roman" w:eastAsia="宋体" w:cs="Times New Roman"/>
          <w:color w:val="auto"/>
          <w:sz w:val="24"/>
          <w:lang w:eastAsia="zh-CN"/>
        </w:rPr>
        <w:t>，</w:t>
      </w:r>
      <w:r>
        <w:rPr>
          <w:rFonts w:hint="eastAsia" w:ascii="Times New Roman" w:hAnsi="Times New Roman" w:eastAsia="宋体" w:cs="Times New Roman"/>
          <w:color w:val="auto"/>
          <w:sz w:val="24"/>
          <w:lang w:val="en-US" w:eastAsia="zh-CN"/>
        </w:rPr>
        <w:t>目前</w:t>
      </w:r>
      <w:r>
        <w:rPr>
          <w:rFonts w:hint="default" w:ascii="Times New Roman" w:hAnsi="Times New Roman" w:eastAsia="宋体" w:cs="Times New Roman"/>
          <w:color w:val="auto"/>
          <w:sz w:val="24"/>
          <w:szCs w:val="24"/>
          <w:highlight w:val="none"/>
          <w:lang w:val="en-US" w:eastAsia="zh-CN"/>
        </w:rPr>
        <w:t>实际建设FPC生产线一条</w:t>
      </w:r>
      <w:r>
        <w:rPr>
          <w:rFonts w:hint="eastAsia" w:ascii="Times New Roman" w:hAnsi="Times New Roman" w:eastAsia="宋体" w:cs="Times New Roman"/>
          <w:color w:val="auto"/>
          <w:sz w:val="24"/>
          <w:szCs w:val="24"/>
          <w:highlight w:val="none"/>
          <w:lang w:val="en-US" w:eastAsia="zh-CN"/>
        </w:rPr>
        <w:t>、导热油炉一套</w:t>
      </w:r>
      <w:r>
        <w:rPr>
          <w:rFonts w:hint="default" w:ascii="Times New Roman" w:hAnsi="Times New Roman" w:eastAsia="宋体" w:cs="Times New Roman"/>
          <w:color w:val="auto"/>
          <w:sz w:val="24"/>
          <w:szCs w:val="24"/>
          <w:highlight w:val="none"/>
          <w:lang w:val="en-US" w:eastAsia="zh-CN"/>
        </w:rPr>
        <w:t>，年产挠性板17.5万m²、刚挠结合板7.5万m²</w:t>
      </w:r>
      <w:r>
        <w:rPr>
          <w:rFonts w:hint="eastAsia" w:ascii="Times New Roman" w:hAnsi="Times New Roman" w:eastAsia="宋体" w:cs="Times New Roman"/>
          <w:color w:val="auto"/>
          <w:sz w:val="24"/>
          <w:szCs w:val="24"/>
          <w:highlight w:val="none"/>
          <w:lang w:val="en-US" w:eastAsia="zh-CN"/>
        </w:rPr>
        <w:t>。</w:t>
      </w:r>
    </w:p>
    <w:p>
      <w:pPr>
        <w:spacing w:line="360" w:lineRule="auto"/>
        <w:ind w:firstLine="480" w:firstLineChars="200"/>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工作时间：年工作300天，两班制，每班12h，年运行7200小时</w:t>
      </w:r>
      <w:r>
        <w:rPr>
          <w:rFonts w:hint="eastAsia" w:ascii="Times New Roman" w:hAnsi="Times New Roman" w:eastAsia="宋体" w:cs="Times New Roman"/>
          <w:color w:val="auto"/>
          <w:sz w:val="24"/>
          <w:lang w:val="en-US" w:eastAsia="zh-CN"/>
        </w:rPr>
        <w:t>。</w:t>
      </w:r>
    </w:p>
    <w:p>
      <w:pPr>
        <w:shd w:val="clear" w:color="auto" w:fill="FFFFFF"/>
        <w:spacing w:line="360" w:lineRule="auto"/>
        <w:ind w:firstLine="480" w:firstLineChars="200"/>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（二）建设过程及环保审批情况</w:t>
      </w:r>
    </w:p>
    <w:p>
      <w:pPr>
        <w:snapToGrid w:val="0"/>
        <w:spacing w:line="360" w:lineRule="auto"/>
        <w:ind w:firstLine="480" w:firstLineChars="200"/>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江苏喜锐信息科技有限公司2020年1月委托南大环境规划设计研究院（江苏）有限公司编制《江苏喜锐信息科技有限公司电脑键盘及5G配套FPC刚挠结合板项目环境影响报告书》；2021年1月29日经盐城市生态环境局审批通过（盐环审〔2021〕81002号）；2021年11月委托南大环境规划设计研究院（江苏）有限公司编制《江苏喜锐信息科技有限公司供热系统技术改造项目环境影响报告表》；2021年12月6日盐城市生态环境局审批通过（盐环审〔2021〕81089号）。</w:t>
      </w:r>
    </w:p>
    <w:p>
      <w:pPr>
        <w:keepNext w:val="0"/>
        <w:keepLines w:val="0"/>
        <w:suppressLineNumbers w:val="0"/>
        <w:snapToGrid w:val="0"/>
        <w:spacing w:before="0" w:beforeAutospacing="0" w:after="0" w:afterAutospacing="0" w:line="360" w:lineRule="auto"/>
        <w:ind w:left="0" w:right="0" w:firstLine="480" w:firstLineChars="200"/>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t>建设时间：2021年6月</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w:t>
      </w:r>
    </w:p>
    <w:p>
      <w:pPr>
        <w:keepNext w:val="0"/>
        <w:keepLines w:val="0"/>
        <w:suppressLineNumbers w:val="0"/>
        <w:snapToGrid w:val="0"/>
        <w:spacing w:before="0" w:beforeAutospacing="0" w:after="0" w:afterAutospacing="0" w:line="360" w:lineRule="auto"/>
        <w:ind w:left="0" w:right="0" w:firstLine="480" w:firstLineChars="200"/>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t>竣工时间：2022年3月</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w:t>
      </w:r>
    </w:p>
    <w:p>
      <w:pPr>
        <w:keepNext w:val="0"/>
        <w:keepLines w:val="0"/>
        <w:suppressLineNumbers w:val="0"/>
        <w:snapToGrid w:val="0"/>
        <w:spacing w:before="0" w:beforeAutospacing="0" w:after="0" w:afterAutospacing="0" w:line="360" w:lineRule="auto"/>
        <w:ind w:left="0" w:right="0" w:firstLine="480" w:firstLineChars="200"/>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t>调试生产时间：2022年3月</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至2022年7月；</w:t>
      </w:r>
    </w:p>
    <w:p>
      <w:pPr>
        <w:keepNext w:val="0"/>
        <w:keepLines w:val="0"/>
        <w:suppressLineNumbers w:val="0"/>
        <w:snapToGrid w:val="0"/>
        <w:spacing w:before="0" w:beforeAutospacing="0" w:after="0" w:afterAutospacing="0" w:line="360" w:lineRule="auto"/>
        <w:ind w:left="0" w:right="0" w:firstLine="480" w:firstLineChars="200"/>
        <w:rPr>
          <w:rFonts w:hint="default" w:ascii="Times New Roman" w:hAnsi="Times New Roman" w:eastAsia="宋体" w:cs="Times New Roman"/>
          <w:color w:val="000000" w:themeColor="text1"/>
          <w:sz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t>验收监测时间：2022年7月1日、2日、4日、5日、6日、7日。</w:t>
      </w:r>
    </w:p>
    <w:p>
      <w:pPr>
        <w:shd w:val="clear" w:color="auto" w:fill="FFFFFF"/>
        <w:spacing w:line="360" w:lineRule="auto"/>
        <w:ind w:firstLine="480" w:firstLineChars="200"/>
        <w:rPr>
          <w:rFonts w:hint="default" w:ascii="Times New Roman" w:hAnsi="Times New Roman" w:eastAsia="宋体" w:cs="Times New Roman"/>
          <w:b/>
          <w:bCs/>
          <w:color w:val="auto"/>
          <w:sz w:val="24"/>
          <w:highlight w:val="none"/>
        </w:rPr>
      </w:pPr>
      <w:r>
        <w:rPr>
          <w:rFonts w:hint="default" w:ascii="Times New Roman" w:hAnsi="Times New Roman" w:eastAsia="宋体" w:cs="Times New Roman"/>
          <w:b/>
          <w:bCs/>
          <w:color w:val="auto"/>
          <w:sz w:val="24"/>
          <w:highlight w:val="none"/>
        </w:rPr>
        <w:t>（三）投资情况</w:t>
      </w:r>
    </w:p>
    <w:p>
      <w:pPr>
        <w:spacing w:line="360" w:lineRule="auto"/>
        <w:ind w:firstLine="484" w:firstLineChars="202"/>
        <w:jc w:val="left"/>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项目总投资</w:t>
      </w:r>
      <w:r>
        <w:rPr>
          <w:rFonts w:hint="eastAsia" w:ascii="Times New Roman" w:hAnsi="Times New Roman" w:eastAsia="宋体" w:cs="Times New Roman"/>
          <w:color w:val="auto"/>
          <w:sz w:val="24"/>
          <w:highlight w:val="none"/>
          <w:lang w:val="en-US" w:eastAsia="zh-CN"/>
        </w:rPr>
        <w:t>60000</w:t>
      </w:r>
      <w:r>
        <w:rPr>
          <w:rFonts w:hint="default" w:ascii="Times New Roman" w:hAnsi="Times New Roman" w:eastAsia="宋体" w:cs="Times New Roman"/>
          <w:color w:val="auto"/>
          <w:sz w:val="24"/>
          <w:highlight w:val="none"/>
          <w:lang w:val="en-US" w:eastAsia="zh-CN"/>
        </w:rPr>
        <w:t>万元，环保投资</w:t>
      </w:r>
      <w:r>
        <w:rPr>
          <w:rFonts w:hint="eastAsia" w:ascii="Times New Roman" w:hAnsi="Times New Roman" w:eastAsia="宋体" w:cs="Times New Roman"/>
          <w:color w:val="auto"/>
          <w:sz w:val="24"/>
          <w:highlight w:val="none"/>
          <w:lang w:val="en-US" w:eastAsia="zh-CN"/>
        </w:rPr>
        <w:t>1777</w:t>
      </w:r>
      <w:r>
        <w:rPr>
          <w:rFonts w:hint="default" w:ascii="Times New Roman" w:hAnsi="Times New Roman" w:eastAsia="宋体" w:cs="Times New Roman"/>
          <w:color w:val="auto"/>
          <w:sz w:val="24"/>
          <w:highlight w:val="none"/>
          <w:lang w:val="en-US" w:eastAsia="zh-CN"/>
        </w:rPr>
        <w:t>万元</w:t>
      </w:r>
      <w:r>
        <w:rPr>
          <w:rFonts w:hint="default" w:ascii="Times New Roman" w:hAnsi="Times New Roman" w:eastAsia="宋体" w:cs="Times New Roman"/>
          <w:color w:val="auto"/>
          <w:sz w:val="24"/>
          <w:highlight w:val="none"/>
          <w:lang w:eastAsia="zh-CN"/>
        </w:rPr>
        <w:t>，占总投资的</w:t>
      </w:r>
      <w:r>
        <w:rPr>
          <w:rFonts w:hint="eastAsia" w:ascii="Times New Roman" w:hAnsi="Times New Roman" w:eastAsia="宋体" w:cs="Times New Roman"/>
          <w:color w:val="auto"/>
          <w:sz w:val="24"/>
          <w:highlight w:val="none"/>
          <w:lang w:val="en-US" w:eastAsia="zh-CN"/>
        </w:rPr>
        <w:t>2.96</w:t>
      </w:r>
      <w:r>
        <w:rPr>
          <w:rFonts w:hint="default" w:ascii="Times New Roman" w:hAnsi="Times New Roman" w:eastAsia="宋体" w:cs="Times New Roman"/>
          <w:color w:val="auto"/>
          <w:sz w:val="24"/>
          <w:highlight w:val="none"/>
          <w:lang w:val="en-US" w:eastAsia="zh-CN"/>
        </w:rPr>
        <w:t>%。</w:t>
      </w:r>
    </w:p>
    <w:p>
      <w:pPr>
        <w:shd w:val="clear" w:color="auto" w:fill="FFFFFF"/>
        <w:spacing w:line="360" w:lineRule="auto"/>
        <w:ind w:firstLine="480" w:firstLineChars="200"/>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（四）验收范围</w:t>
      </w:r>
    </w:p>
    <w:p>
      <w:pPr>
        <w:spacing w:line="360" w:lineRule="auto"/>
        <w:ind w:firstLine="484" w:firstLineChars="202"/>
        <w:jc w:val="left"/>
        <w:rPr>
          <w:rFonts w:hint="default" w:ascii="Times New Roman" w:hAnsi="Times New Roman" w:eastAsia="宋体" w:cs="Times New Roman"/>
          <w:color w:val="auto"/>
          <w:sz w:val="24"/>
        </w:rPr>
      </w:pPr>
      <w:r>
        <w:rPr>
          <w:rFonts w:hint="eastAsia" w:ascii="Times New Roman" w:hAnsi="Times New Roman" w:eastAsia="宋体" w:cs="Times New Roman"/>
          <w:color w:val="auto"/>
          <w:sz w:val="24"/>
          <w:highlight w:val="none"/>
          <w:lang w:eastAsia="zh-CN"/>
        </w:rPr>
        <w:t>江苏喜锐信息科技有限公司</w:t>
      </w:r>
      <w:r>
        <w:rPr>
          <w:rFonts w:hint="default" w:ascii="Times New Roman" w:hAnsi="Times New Roman" w:eastAsia="宋体" w:cs="Times New Roman"/>
          <w:color w:val="auto"/>
          <w:sz w:val="24"/>
          <w:highlight w:val="none"/>
          <w:lang w:eastAsia="zh-CN"/>
        </w:rPr>
        <w:t>电脑键盘及5G配套FPC刚挠结合板项目</w:t>
      </w:r>
      <w:r>
        <w:rPr>
          <w:rFonts w:hint="default" w:ascii="Times New Roman" w:hAnsi="Times New Roman" w:eastAsia="宋体" w:cs="Times New Roman"/>
          <w:color w:val="auto"/>
          <w:sz w:val="24"/>
          <w:highlight w:val="none"/>
          <w:lang w:val="en-US" w:eastAsia="zh-CN"/>
        </w:rPr>
        <w:t>（年产挠性板17.5万m²、刚挠结合板7.5万m²部分）</w:t>
      </w:r>
      <w:r>
        <w:rPr>
          <w:rFonts w:hint="eastAsia" w:ascii="Times New Roman" w:hAnsi="Times New Roman" w:eastAsia="宋体" w:cs="Times New Roman"/>
          <w:color w:val="auto"/>
          <w:sz w:val="24"/>
          <w:highlight w:val="none"/>
          <w:lang w:val="en-US" w:eastAsia="zh-CN"/>
        </w:rPr>
        <w:t>及</w:t>
      </w:r>
      <w:r>
        <w:rPr>
          <w:rFonts w:hint="default" w:ascii="Times New Roman" w:hAnsi="Times New Roman" w:eastAsia="宋体" w:cs="Times New Roman"/>
          <w:color w:val="auto"/>
          <w:sz w:val="24"/>
          <w:highlight w:val="none"/>
          <w:lang w:val="en-US" w:eastAsia="zh-CN"/>
        </w:rPr>
        <w:t>供热系统技术改造项目部分</w:t>
      </w:r>
      <w:r>
        <w:rPr>
          <w:rFonts w:hint="default" w:ascii="Times New Roman" w:hAnsi="Times New Roman" w:eastAsia="宋体" w:cs="Times New Roman"/>
          <w:color w:val="auto"/>
          <w:sz w:val="24"/>
          <w:lang w:val="en-US" w:eastAsia="zh-CN"/>
        </w:rPr>
        <w:t>验收</w:t>
      </w:r>
      <w:r>
        <w:rPr>
          <w:rFonts w:hint="default" w:ascii="Times New Roman" w:hAnsi="Times New Roman" w:eastAsia="宋体" w:cs="Times New Roman"/>
          <w:color w:val="auto"/>
          <w:sz w:val="24"/>
          <w:lang w:eastAsia="zh-CN"/>
        </w:rPr>
        <w:t>。</w:t>
      </w:r>
    </w:p>
    <w:p>
      <w:pPr>
        <w:shd w:val="clear" w:color="auto" w:fill="FFFFFF"/>
        <w:spacing w:line="360" w:lineRule="auto"/>
        <w:ind w:firstLine="480" w:firstLineChars="200"/>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二、工程变动情况</w:t>
      </w:r>
    </w:p>
    <w:p>
      <w:pPr>
        <w:spacing w:line="360" w:lineRule="auto"/>
        <w:ind w:firstLine="484" w:firstLineChars="202"/>
        <w:jc w:val="left"/>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szCs w:val="24"/>
        </w:rPr>
        <w:t>本项目为</w:t>
      </w:r>
      <w:r>
        <w:rPr>
          <w:rFonts w:hint="default" w:ascii="Times New Roman" w:hAnsi="Times New Roman" w:eastAsia="宋体" w:cs="Times New Roman"/>
          <w:color w:val="auto"/>
          <w:sz w:val="24"/>
          <w:szCs w:val="24"/>
          <w:lang w:val="en-US" w:eastAsia="zh-CN"/>
        </w:rPr>
        <w:t>新建</w:t>
      </w:r>
      <w:r>
        <w:rPr>
          <w:rFonts w:hint="default" w:ascii="Times New Roman" w:hAnsi="Times New Roman" w:eastAsia="宋体" w:cs="Times New Roman"/>
          <w:color w:val="auto"/>
          <w:sz w:val="24"/>
          <w:szCs w:val="24"/>
        </w:rPr>
        <w:t>项目，建设地点、产品方案、生产规模、建设内容，经与</w:t>
      </w:r>
      <w:r>
        <w:rPr>
          <w:rFonts w:hint="default" w:ascii="Times New Roman" w:hAnsi="Times New Roman" w:eastAsia="宋体" w:cs="Times New Roman"/>
          <w:color w:val="auto"/>
          <w:sz w:val="24"/>
          <w:szCs w:val="24"/>
          <w:lang w:val="en-US" w:eastAsia="zh-CN"/>
        </w:rPr>
        <w:t>《污染影响类建设项目重大变动清单（试行）》（环办环评函〔2020〕688号）</w:t>
      </w:r>
      <w:r>
        <w:rPr>
          <w:rFonts w:hint="default" w:ascii="Times New Roman" w:hAnsi="Times New Roman" w:eastAsia="宋体" w:cs="Times New Roman"/>
          <w:color w:val="auto"/>
          <w:sz w:val="24"/>
          <w:szCs w:val="24"/>
        </w:rPr>
        <w:t>对比，本项目不属于重大变动，</w:t>
      </w:r>
      <w:r>
        <w:rPr>
          <w:rFonts w:hint="default" w:ascii="Times New Roman" w:hAnsi="Times New Roman" w:eastAsia="宋体" w:cs="Times New Roman"/>
          <w:color w:val="auto"/>
          <w:sz w:val="24"/>
          <w:lang w:eastAsia="zh-CN"/>
        </w:rPr>
        <w:t>详见表1。</w:t>
      </w:r>
    </w:p>
    <w:p>
      <w:pPr>
        <w:pStyle w:val="6"/>
        <w:jc w:val="center"/>
        <w:rPr>
          <w:rFonts w:hint="default" w:ascii="Times New Roman" w:hAnsi="Times New Roman" w:eastAsia="宋体" w:cs="Times New Roman"/>
          <w:b/>
          <w:bCs/>
          <w:color w:val="auto"/>
          <w:kern w:val="2"/>
          <w:sz w:val="24"/>
          <w:szCs w:val="24"/>
          <w:lang w:val="en-US" w:eastAsia="zh-CN" w:bidi="ar-SA"/>
        </w:rPr>
      </w:pPr>
      <w:r>
        <w:rPr>
          <w:rFonts w:hint="default" w:ascii="Times New Roman" w:hAnsi="Times New Roman" w:eastAsia="宋体" w:cs="Times New Roman"/>
          <w:b/>
          <w:bCs/>
          <w:color w:val="auto"/>
          <w:kern w:val="2"/>
          <w:sz w:val="24"/>
          <w:szCs w:val="24"/>
          <w:lang w:val="en-US" w:eastAsia="zh-CN" w:bidi="ar-SA"/>
        </w:rPr>
        <w:t>表1变动分析（环办环评函〔2020〕688号）</w:t>
      </w:r>
    </w:p>
    <w:tbl>
      <w:tblPr>
        <w:tblStyle w:val="24"/>
        <w:tblW w:w="9071" w:type="dxa"/>
        <w:tblInd w:w="5"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88"/>
        <w:gridCol w:w="4658"/>
        <w:gridCol w:w="2651"/>
        <w:gridCol w:w="107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blHeader/>
        </w:trPr>
        <w:tc>
          <w:tcPr>
            <w:tcW w:w="688" w:type="dxa"/>
            <w:tcBorders>
              <w:top w:val="single" w:color="000000" w:sz="12" w:space="0"/>
              <w:bottom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bCs/>
                <w:color w:val="auto"/>
                <w:lang w:eastAsia="zh-CN"/>
              </w:rPr>
            </w:pPr>
            <w:r>
              <w:rPr>
                <w:rFonts w:hint="default" w:ascii="Times New Roman" w:hAnsi="Times New Roman" w:eastAsia="宋体" w:cs="Times New Roman"/>
                <w:b/>
                <w:bCs/>
                <w:color w:val="auto"/>
                <w:lang w:eastAsia="zh-CN"/>
              </w:rPr>
              <w:t>类别</w:t>
            </w:r>
          </w:p>
        </w:tc>
        <w:tc>
          <w:tcPr>
            <w:tcW w:w="4658" w:type="dxa"/>
            <w:tcBorders>
              <w:top w:val="single" w:color="000000" w:sz="12" w:space="0"/>
              <w:bottom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bCs/>
                <w:color w:val="auto"/>
                <w:lang w:eastAsia="zh-CN"/>
              </w:rPr>
            </w:pPr>
            <w:r>
              <w:rPr>
                <w:rFonts w:hint="default" w:ascii="Times New Roman" w:hAnsi="Times New Roman" w:eastAsia="宋体" w:cs="Times New Roman"/>
                <w:b/>
                <w:bCs/>
                <w:color w:val="auto"/>
                <w:lang w:eastAsia="zh-CN"/>
              </w:rPr>
              <w:t>内容</w:t>
            </w:r>
          </w:p>
        </w:tc>
        <w:tc>
          <w:tcPr>
            <w:tcW w:w="2651" w:type="dxa"/>
            <w:tcBorders>
              <w:top w:val="single" w:color="000000" w:sz="12" w:space="0"/>
              <w:bottom w:val="single" w:color="000000"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highlight w:val="none"/>
                <w:lang w:eastAsia="zh-CN"/>
              </w:rPr>
            </w:pPr>
            <w:r>
              <w:rPr>
                <w:rFonts w:hint="default" w:ascii="Times New Roman" w:hAnsi="Times New Roman" w:eastAsia="宋体" w:cs="Times New Roman"/>
                <w:b/>
                <w:bCs/>
                <w:color w:val="auto"/>
                <w:lang w:eastAsia="zh-CN"/>
              </w:rPr>
              <w:t>变动分析</w:t>
            </w:r>
          </w:p>
        </w:tc>
        <w:tc>
          <w:tcPr>
            <w:tcW w:w="1074" w:type="dxa"/>
            <w:tcBorders>
              <w:top w:val="single" w:color="000000" w:sz="12" w:space="0"/>
              <w:bottom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bCs/>
                <w:color w:val="auto"/>
                <w:lang w:val="en-US" w:eastAsia="zh-CN"/>
              </w:rPr>
            </w:pPr>
            <w:r>
              <w:rPr>
                <w:rFonts w:hint="default" w:ascii="Times New Roman" w:hAnsi="Times New Roman" w:eastAsia="宋体" w:cs="Times New Roman"/>
                <w:b/>
                <w:bCs/>
                <w:color w:val="auto"/>
                <w:lang w:val="en-US" w:eastAsia="zh-CN"/>
              </w:rPr>
              <w:t>是否属于重大变动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88" w:type="dxa"/>
            <w:tcBorders>
              <w:top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auto"/>
                <w:vertAlign w:val="baseline"/>
              </w:rPr>
            </w:pPr>
            <w:r>
              <w:rPr>
                <w:rFonts w:hint="default" w:ascii="Times New Roman" w:hAnsi="Times New Roman" w:eastAsia="宋体" w:cs="Times New Roman"/>
                <w:color w:val="auto"/>
              </w:rPr>
              <w:t>性质:</w:t>
            </w:r>
          </w:p>
        </w:tc>
        <w:tc>
          <w:tcPr>
            <w:tcW w:w="4658" w:type="dxa"/>
            <w:tcBorders>
              <w:top w:val="single" w:color="000000" w:sz="12"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1.建设项目开发、使用功能发生变化的。</w:t>
            </w:r>
          </w:p>
        </w:tc>
        <w:tc>
          <w:tcPr>
            <w:tcW w:w="2651" w:type="dxa"/>
            <w:tcBorders>
              <w:top w:val="single" w:color="000000"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本项目开发、使用功能未发生变化。</w:t>
            </w:r>
          </w:p>
        </w:tc>
        <w:tc>
          <w:tcPr>
            <w:tcW w:w="1074" w:type="dxa"/>
            <w:tcBorders>
              <w:top w:val="single" w:color="000000" w:sz="12" w:space="0"/>
            </w:tcBorders>
            <w:noWrap w:val="0"/>
            <w:vAlign w:val="center"/>
          </w:tcPr>
          <w:p>
            <w:pPr>
              <w:keepNext w:val="0"/>
              <w:keepLines w:val="0"/>
              <w:pageBreakBefore w:val="0"/>
              <w:widowControl w:val="0"/>
              <w:wordWrap/>
              <w:overflowPunct/>
              <w:topLinePunct w:val="0"/>
              <w:bidi w:val="0"/>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eastAsia="zh-CN"/>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8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auto"/>
                <w:vertAlign w:val="baseline"/>
              </w:rPr>
            </w:pPr>
            <w:r>
              <w:rPr>
                <w:rFonts w:hint="default" w:ascii="Times New Roman" w:hAnsi="Times New Roman" w:eastAsia="宋体" w:cs="Times New Roman"/>
                <w:color w:val="auto"/>
              </w:rPr>
              <w:t>规模:</w:t>
            </w:r>
          </w:p>
        </w:tc>
        <w:tc>
          <w:tcPr>
            <w:tcW w:w="4658"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2.生产、处置或储存能力增大30%及以上的。</w:t>
            </w:r>
          </w:p>
        </w:tc>
        <w:tc>
          <w:tcPr>
            <w:tcW w:w="265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本项目生产、处置和储存能力未增大。</w:t>
            </w:r>
          </w:p>
        </w:tc>
        <w:tc>
          <w:tcPr>
            <w:tcW w:w="1074" w:type="dxa"/>
            <w:noWrap w:val="0"/>
            <w:vAlign w:val="center"/>
          </w:tcPr>
          <w:p>
            <w:pPr>
              <w:keepNext w:val="0"/>
              <w:keepLines w:val="0"/>
              <w:pageBreakBefore w:val="0"/>
              <w:widowControl w:val="0"/>
              <w:wordWrap/>
              <w:overflowPunct/>
              <w:topLinePunct w:val="0"/>
              <w:bidi w:val="0"/>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eastAsia="zh-CN"/>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8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auto"/>
                <w:vertAlign w:val="baseline"/>
              </w:rPr>
            </w:pPr>
          </w:p>
        </w:tc>
        <w:tc>
          <w:tcPr>
            <w:tcW w:w="4658"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3.生产、处置或储存能力增大，导致废水第一类污染物排放量增加的。</w:t>
            </w:r>
          </w:p>
        </w:tc>
        <w:tc>
          <w:tcPr>
            <w:tcW w:w="265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本项目生产、处置和储存能力未增大。</w:t>
            </w:r>
          </w:p>
        </w:tc>
        <w:tc>
          <w:tcPr>
            <w:tcW w:w="1074" w:type="dxa"/>
            <w:noWrap w:val="0"/>
            <w:vAlign w:val="center"/>
          </w:tcPr>
          <w:p>
            <w:pPr>
              <w:keepNext w:val="0"/>
              <w:keepLines w:val="0"/>
              <w:pageBreakBefore w:val="0"/>
              <w:widowControl w:val="0"/>
              <w:wordWrap/>
              <w:overflowPunct/>
              <w:topLinePunct w:val="0"/>
              <w:bidi w:val="0"/>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eastAsia="zh-CN"/>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8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auto"/>
                <w:vertAlign w:val="baseline"/>
              </w:rPr>
            </w:pPr>
          </w:p>
        </w:tc>
        <w:tc>
          <w:tcPr>
            <w:tcW w:w="4658"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4.位于环境质量不达标区的建设项目生产、处置或储存能力增大，导致相应污染物排放量增加的（细颗粒物不达标区，相应污染物为二氧化硫、氮氧化物、可吸入颗粒物、挥发性有机物；臭氧不达标区，相应污染物为氮氧化物、挥发性有机物；其他大气、水污染物因子不达标区，相应污染物为超标污染因子）；位于达标区的建设项目生产、处置或储存能力增大，导致污染物排放量增加10%及以上的。</w:t>
            </w:r>
          </w:p>
        </w:tc>
        <w:tc>
          <w:tcPr>
            <w:tcW w:w="265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本项目生产、处置、储存能力未增大；污染物排放量未增大。</w:t>
            </w:r>
          </w:p>
        </w:tc>
        <w:tc>
          <w:tcPr>
            <w:tcW w:w="1074" w:type="dxa"/>
            <w:noWrap w:val="0"/>
            <w:vAlign w:val="center"/>
          </w:tcPr>
          <w:p>
            <w:pPr>
              <w:keepNext w:val="0"/>
              <w:keepLines w:val="0"/>
              <w:pageBreakBefore w:val="0"/>
              <w:widowControl w:val="0"/>
              <w:wordWrap/>
              <w:overflowPunct/>
              <w:topLinePunct w:val="0"/>
              <w:bidi w:val="0"/>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eastAsia="zh-CN"/>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auto"/>
                <w:vertAlign w:val="baseline"/>
              </w:rPr>
            </w:pPr>
            <w:r>
              <w:rPr>
                <w:rFonts w:hint="default" w:ascii="Times New Roman" w:hAnsi="Times New Roman" w:eastAsia="宋体" w:cs="Times New Roman"/>
                <w:color w:val="auto"/>
              </w:rPr>
              <w:t>地点:</w:t>
            </w:r>
          </w:p>
        </w:tc>
        <w:tc>
          <w:tcPr>
            <w:tcW w:w="4658"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5.重新选址；在原厂址附近调整（包括总平面布置变化）导致环境防护距离范围变化且新增敏感点的。</w:t>
            </w:r>
          </w:p>
        </w:tc>
        <w:tc>
          <w:tcPr>
            <w:tcW w:w="265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本项目未重新选址；平面布置微调整，未导致环境防护新增敏感点。</w:t>
            </w:r>
          </w:p>
        </w:tc>
        <w:tc>
          <w:tcPr>
            <w:tcW w:w="1074" w:type="dxa"/>
            <w:noWrap w:val="0"/>
            <w:vAlign w:val="center"/>
          </w:tcPr>
          <w:p>
            <w:pPr>
              <w:keepNext w:val="0"/>
              <w:keepLines w:val="0"/>
              <w:pageBreakBefore w:val="0"/>
              <w:widowControl w:val="0"/>
              <w:wordWrap/>
              <w:overflowPunct/>
              <w:topLinePunct w:val="0"/>
              <w:bidi w:val="0"/>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eastAsia="zh-CN"/>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8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auto"/>
                <w:vertAlign w:val="baseline"/>
              </w:rPr>
            </w:pPr>
            <w:r>
              <w:rPr>
                <w:rFonts w:hint="default" w:ascii="Times New Roman" w:hAnsi="Times New Roman" w:eastAsia="宋体" w:cs="Times New Roman"/>
                <w:color w:val="auto"/>
              </w:rPr>
              <w:t>生产工艺:</w:t>
            </w:r>
          </w:p>
        </w:tc>
        <w:tc>
          <w:tcPr>
            <w:tcW w:w="4658"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6.新增产品品种或生产工艺（含主要生产装置、设备及配套设施）、主要原辅材料、燃料变化，导致以下情形之一：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（1）新增排放污染物种类的（毒性、挥发性降低的除外）；</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（2）位于环境质量不达标区的建设项目相应污染物排放量增加的；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（3）废水第一类污染物排放量增加的；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（4）其他污染物排放量增加10%及以上的。</w:t>
            </w:r>
          </w:p>
        </w:tc>
        <w:tc>
          <w:tcPr>
            <w:tcW w:w="265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本项目产品品种，生产工艺、主要原辅材料、燃料均未发生变化。</w:t>
            </w:r>
          </w:p>
        </w:tc>
        <w:tc>
          <w:tcPr>
            <w:tcW w:w="1074" w:type="dxa"/>
            <w:noWrap w:val="0"/>
            <w:vAlign w:val="center"/>
          </w:tcPr>
          <w:p>
            <w:pPr>
              <w:keepNext w:val="0"/>
              <w:keepLines w:val="0"/>
              <w:pageBreakBefore w:val="0"/>
              <w:widowControl w:val="0"/>
              <w:wordWrap/>
              <w:overflowPunct/>
              <w:topLinePunct w:val="0"/>
              <w:bidi w:val="0"/>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eastAsia="zh-CN"/>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8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auto"/>
                <w:vertAlign w:val="baseline"/>
              </w:rPr>
            </w:pPr>
          </w:p>
        </w:tc>
        <w:tc>
          <w:tcPr>
            <w:tcW w:w="4658"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7.物料运输、装卸、贮存方式变化，导致大气污染物无组织排放量增加10%及以上的。</w:t>
            </w:r>
          </w:p>
        </w:tc>
        <w:tc>
          <w:tcPr>
            <w:tcW w:w="265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物料运输、装卸、贮存方式未发生变化。</w:t>
            </w:r>
          </w:p>
        </w:tc>
        <w:tc>
          <w:tcPr>
            <w:tcW w:w="1074" w:type="dxa"/>
            <w:noWrap w:val="0"/>
            <w:vAlign w:val="center"/>
          </w:tcPr>
          <w:p>
            <w:pPr>
              <w:keepNext w:val="0"/>
              <w:keepLines w:val="0"/>
              <w:pageBreakBefore w:val="0"/>
              <w:widowControl w:val="0"/>
              <w:wordWrap/>
              <w:overflowPunct/>
              <w:topLinePunct w:val="0"/>
              <w:bidi w:val="0"/>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eastAsia="zh-CN"/>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8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auto"/>
                <w:vertAlign w:val="baseline"/>
              </w:rPr>
            </w:pPr>
            <w:r>
              <w:rPr>
                <w:rFonts w:hint="default" w:ascii="Times New Roman" w:hAnsi="Times New Roman" w:eastAsia="宋体" w:cs="Times New Roman"/>
                <w:color w:val="auto"/>
              </w:rPr>
              <w:t>环境保护措施:</w:t>
            </w:r>
          </w:p>
        </w:tc>
        <w:tc>
          <w:tcPr>
            <w:tcW w:w="4658"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Times New Roman" w:eastAsia="宋体" w:cs="Times New Roman"/>
                <w:color w:val="auto"/>
                <w:highlight w:val="none"/>
                <w:lang w:eastAsia="zh-CN"/>
              </w:rPr>
            </w:pPr>
            <w:r>
              <w:rPr>
                <w:rFonts w:hint="default" w:ascii="Times New Roman" w:hAnsi="Times New Roman" w:eastAsia="宋体" w:cs="Times New Roman"/>
                <w:color w:val="auto"/>
                <w:highlight w:val="none"/>
                <w:lang w:eastAsia="zh-CN"/>
              </w:rPr>
              <w:t>8.废气、废水污染防治措施变化，导致第6条中所列情形之一（废气无组织排放改为有组织排放、污染防治措施强化或改进的除外）或大气污染物无组织排放量增加10%及以上的。</w:t>
            </w:r>
          </w:p>
        </w:tc>
        <w:tc>
          <w:tcPr>
            <w:tcW w:w="265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废气</w:t>
            </w:r>
            <w:r>
              <w:rPr>
                <w:rFonts w:hint="eastAsia" w:ascii="Times New Roman" w:hAnsi="Times New Roman" w:eastAsia="宋体" w:cs="Times New Roman"/>
                <w:color w:val="auto"/>
                <w:highlight w:val="none"/>
                <w:lang w:val="en-US" w:eastAsia="zh-CN"/>
              </w:rPr>
              <w:t>、废水</w:t>
            </w:r>
            <w:r>
              <w:rPr>
                <w:rFonts w:hint="default" w:ascii="Times New Roman" w:hAnsi="Times New Roman" w:eastAsia="宋体" w:cs="Times New Roman"/>
                <w:color w:val="auto"/>
                <w:highlight w:val="none"/>
                <w:lang w:val="en-US" w:eastAsia="zh-CN"/>
              </w:rPr>
              <w:t>污染防治措施未发生变化。</w:t>
            </w:r>
          </w:p>
        </w:tc>
        <w:tc>
          <w:tcPr>
            <w:tcW w:w="1074" w:type="dxa"/>
            <w:noWrap w:val="0"/>
            <w:vAlign w:val="center"/>
          </w:tcPr>
          <w:p>
            <w:pPr>
              <w:keepNext w:val="0"/>
              <w:keepLines w:val="0"/>
              <w:pageBreakBefore w:val="0"/>
              <w:widowControl w:val="0"/>
              <w:wordWrap/>
              <w:overflowPunct/>
              <w:topLinePunct w:val="0"/>
              <w:bidi w:val="0"/>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eastAsia="zh-CN"/>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8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auto"/>
                <w:vertAlign w:val="baseline"/>
              </w:rPr>
            </w:pPr>
          </w:p>
        </w:tc>
        <w:tc>
          <w:tcPr>
            <w:tcW w:w="4658"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Times New Roman" w:eastAsia="宋体" w:cs="Times New Roman"/>
                <w:color w:val="auto"/>
                <w:highlight w:val="none"/>
                <w:lang w:eastAsia="zh-CN"/>
              </w:rPr>
            </w:pPr>
            <w:r>
              <w:rPr>
                <w:rFonts w:hint="default" w:ascii="Times New Roman" w:hAnsi="Times New Roman" w:eastAsia="宋体" w:cs="Times New Roman"/>
                <w:color w:val="auto"/>
                <w:highlight w:val="none"/>
                <w:lang w:eastAsia="zh-CN"/>
              </w:rPr>
              <w:t>9.新增废水直接排放口；废水由间接排放改为直接排放；废水直接排放口位置变化，导致不利环境影响加重的。</w:t>
            </w:r>
          </w:p>
        </w:tc>
        <w:tc>
          <w:tcPr>
            <w:tcW w:w="265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未新增废水排口。</w:t>
            </w:r>
          </w:p>
        </w:tc>
        <w:tc>
          <w:tcPr>
            <w:tcW w:w="1074" w:type="dxa"/>
            <w:noWrap w:val="0"/>
            <w:vAlign w:val="center"/>
          </w:tcPr>
          <w:p>
            <w:pPr>
              <w:keepNext w:val="0"/>
              <w:keepLines w:val="0"/>
              <w:pageBreakBefore w:val="0"/>
              <w:widowControl w:val="0"/>
              <w:wordWrap/>
              <w:overflowPunct/>
              <w:topLinePunct w:val="0"/>
              <w:bidi w:val="0"/>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eastAsia="zh-CN"/>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8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auto"/>
                <w:vertAlign w:val="baseline"/>
              </w:rPr>
            </w:pPr>
          </w:p>
        </w:tc>
        <w:tc>
          <w:tcPr>
            <w:tcW w:w="4658"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Times New Roman" w:eastAsia="宋体" w:cs="Times New Roman"/>
                <w:color w:val="auto"/>
                <w:highlight w:val="none"/>
                <w:lang w:eastAsia="zh-CN"/>
              </w:rPr>
            </w:pPr>
            <w:r>
              <w:rPr>
                <w:rFonts w:hint="default" w:ascii="Times New Roman" w:hAnsi="Times New Roman" w:eastAsia="宋体" w:cs="Times New Roman"/>
                <w:color w:val="auto"/>
                <w:highlight w:val="none"/>
                <w:lang w:eastAsia="zh-CN"/>
              </w:rPr>
              <w:t>10.新增废气主要排放口（废气无组织排放改为有组织排放的除外）；主要排放口排气筒高度降低10%及以上的。</w:t>
            </w:r>
          </w:p>
        </w:tc>
        <w:tc>
          <w:tcPr>
            <w:tcW w:w="265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本项目未新增废气主要排放口。</w:t>
            </w:r>
          </w:p>
        </w:tc>
        <w:tc>
          <w:tcPr>
            <w:tcW w:w="1074" w:type="dxa"/>
            <w:noWrap w:val="0"/>
            <w:vAlign w:val="center"/>
          </w:tcPr>
          <w:p>
            <w:pPr>
              <w:keepNext w:val="0"/>
              <w:keepLines w:val="0"/>
              <w:pageBreakBefore w:val="0"/>
              <w:widowControl w:val="0"/>
              <w:wordWrap/>
              <w:overflowPunct/>
              <w:topLinePunct w:val="0"/>
              <w:bidi w:val="0"/>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eastAsia="zh-CN"/>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8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auto"/>
                <w:vertAlign w:val="baseline"/>
              </w:rPr>
            </w:pPr>
          </w:p>
        </w:tc>
        <w:tc>
          <w:tcPr>
            <w:tcW w:w="4658"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Times New Roman" w:eastAsia="宋体" w:cs="Times New Roman"/>
                <w:color w:val="auto"/>
                <w:highlight w:val="none"/>
                <w:lang w:eastAsia="zh-CN"/>
              </w:rPr>
            </w:pPr>
            <w:r>
              <w:rPr>
                <w:rFonts w:hint="default" w:ascii="Times New Roman" w:hAnsi="Times New Roman" w:eastAsia="宋体" w:cs="Times New Roman"/>
                <w:color w:val="auto"/>
                <w:highlight w:val="none"/>
                <w:lang w:eastAsia="zh-CN"/>
              </w:rPr>
              <w:t>11.噪声、土壤或地下水污染防治措施变化，导致不利环境影响加重的。</w:t>
            </w:r>
          </w:p>
        </w:tc>
        <w:tc>
          <w:tcPr>
            <w:tcW w:w="265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本项目</w:t>
            </w:r>
            <w:r>
              <w:rPr>
                <w:rFonts w:hint="default" w:ascii="Times New Roman" w:hAnsi="Times New Roman" w:eastAsia="宋体" w:cs="Times New Roman"/>
                <w:color w:val="auto"/>
                <w:highlight w:val="none"/>
                <w:lang w:val="en-US" w:eastAsia="zh-CN"/>
              </w:rPr>
              <w:t>噪声、土壤或地下水污染防治措施未发生变化。</w:t>
            </w:r>
          </w:p>
        </w:tc>
        <w:tc>
          <w:tcPr>
            <w:tcW w:w="1074" w:type="dxa"/>
            <w:noWrap w:val="0"/>
            <w:vAlign w:val="center"/>
          </w:tcPr>
          <w:p>
            <w:pPr>
              <w:keepNext w:val="0"/>
              <w:keepLines w:val="0"/>
              <w:pageBreakBefore w:val="0"/>
              <w:widowControl w:val="0"/>
              <w:wordWrap/>
              <w:overflowPunct/>
              <w:topLinePunct w:val="0"/>
              <w:bidi w:val="0"/>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eastAsia="zh-CN"/>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8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auto"/>
                <w:vertAlign w:val="baseline"/>
              </w:rPr>
            </w:pPr>
          </w:p>
        </w:tc>
        <w:tc>
          <w:tcPr>
            <w:tcW w:w="4658"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Times New Roman" w:eastAsia="宋体" w:cs="Times New Roman"/>
                <w:color w:val="auto"/>
                <w:highlight w:val="none"/>
                <w:lang w:eastAsia="zh-CN"/>
              </w:rPr>
            </w:pPr>
            <w:r>
              <w:rPr>
                <w:rFonts w:hint="default" w:ascii="Times New Roman" w:hAnsi="Times New Roman" w:eastAsia="宋体" w:cs="Times New Roman"/>
                <w:color w:val="auto"/>
                <w:highlight w:val="none"/>
                <w:lang w:eastAsia="zh-CN"/>
              </w:rPr>
              <w:t>12.固体废物利用处置方式由委托外单位利用处置改为自行利用处置的（自行利用处置设施单独开展环境影响评价的除外）；固体废物自行处置方式变化，导致不利环境影响加重的。</w:t>
            </w:r>
          </w:p>
        </w:tc>
        <w:tc>
          <w:tcPr>
            <w:tcW w:w="265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本项目固体废物处置方式</w:t>
            </w:r>
            <w:r>
              <w:rPr>
                <w:rFonts w:hint="eastAsia" w:ascii="Times New Roman" w:hAnsi="Times New Roman" w:eastAsia="宋体" w:cs="Times New Roman"/>
                <w:color w:val="auto"/>
                <w:highlight w:val="none"/>
                <w:lang w:val="en-US" w:eastAsia="zh-CN"/>
              </w:rPr>
              <w:t>未发生</w:t>
            </w:r>
            <w:r>
              <w:rPr>
                <w:rFonts w:hint="default" w:ascii="Times New Roman" w:hAnsi="Times New Roman" w:eastAsia="宋体" w:cs="Times New Roman"/>
                <w:color w:val="auto"/>
                <w:highlight w:val="none"/>
                <w:lang w:val="en-US" w:eastAsia="zh-CN"/>
              </w:rPr>
              <w:t>变化。</w:t>
            </w:r>
          </w:p>
        </w:tc>
        <w:tc>
          <w:tcPr>
            <w:tcW w:w="1074" w:type="dxa"/>
            <w:noWrap w:val="0"/>
            <w:vAlign w:val="center"/>
          </w:tcPr>
          <w:p>
            <w:pPr>
              <w:keepNext w:val="0"/>
              <w:keepLines w:val="0"/>
              <w:pageBreakBefore w:val="0"/>
              <w:widowControl w:val="0"/>
              <w:wordWrap/>
              <w:overflowPunct/>
              <w:topLinePunct w:val="0"/>
              <w:bidi w:val="0"/>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eastAsia="zh-CN"/>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88" w:type="dxa"/>
            <w:vMerge w:val="continue"/>
            <w:tcBorders>
              <w:bottom w:val="single" w:color="000000" w:sz="12"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auto"/>
                <w:vertAlign w:val="baseline"/>
              </w:rPr>
            </w:pPr>
          </w:p>
        </w:tc>
        <w:tc>
          <w:tcPr>
            <w:tcW w:w="4658" w:type="dxa"/>
            <w:tcBorders>
              <w:bottom w:val="single" w:color="000000" w:sz="12"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Times New Roman" w:eastAsia="宋体" w:cs="Times New Roman"/>
                <w:color w:val="auto"/>
                <w:highlight w:val="none"/>
                <w:lang w:eastAsia="zh-CN"/>
              </w:rPr>
            </w:pPr>
            <w:r>
              <w:rPr>
                <w:rFonts w:hint="default" w:ascii="Times New Roman" w:hAnsi="Times New Roman" w:eastAsia="宋体" w:cs="Times New Roman"/>
                <w:color w:val="auto"/>
                <w:highlight w:val="none"/>
                <w:lang w:eastAsia="zh-CN"/>
              </w:rPr>
              <w:t>13.事故废水暂存能力或拦截设施变化，导致环境风险防范能力弱化或降低的。</w:t>
            </w:r>
          </w:p>
        </w:tc>
        <w:tc>
          <w:tcPr>
            <w:tcW w:w="2651" w:type="dxa"/>
            <w:tcBorders>
              <w:bottom w:val="single" w:color="000000"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本项目</w:t>
            </w:r>
            <w:r>
              <w:rPr>
                <w:rFonts w:hint="eastAsia" w:ascii="Times New Roman" w:hAnsi="Times New Roman" w:eastAsia="宋体" w:cs="Times New Roman"/>
                <w:color w:val="auto"/>
                <w:highlight w:val="none"/>
                <w:lang w:val="en-US" w:eastAsia="zh-CN"/>
              </w:rPr>
              <w:t>事故废水暂存能力发生变化，未导致环境风险防范能力弱化或降低。</w:t>
            </w:r>
          </w:p>
        </w:tc>
        <w:tc>
          <w:tcPr>
            <w:tcW w:w="1074" w:type="dxa"/>
            <w:tcBorders>
              <w:bottom w:val="single" w:color="000000" w:sz="12" w:space="0"/>
            </w:tcBorders>
            <w:noWrap w:val="0"/>
            <w:vAlign w:val="center"/>
          </w:tcPr>
          <w:p>
            <w:pPr>
              <w:keepNext w:val="0"/>
              <w:keepLines w:val="0"/>
              <w:pageBreakBefore w:val="0"/>
              <w:widowControl w:val="0"/>
              <w:wordWrap/>
              <w:overflowPunct/>
              <w:topLinePunct w:val="0"/>
              <w:bidi w:val="0"/>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eastAsia="zh-CN"/>
              </w:rPr>
              <w:t>否</w:t>
            </w:r>
          </w:p>
        </w:tc>
      </w:tr>
    </w:tbl>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三、环境保护设施建设情况</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（一）废水</w:t>
      </w:r>
    </w:p>
    <w:p>
      <w:pPr>
        <w:pStyle w:val="6"/>
        <w:spacing w:line="360" w:lineRule="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本项目产生的废水主要有生产废水及生活污水。生产废水包括一般清洗废水、含镍清洗废水、有机清洗废水、含铜清洗废水、含氰清洗废水、酸碱废液（酸性废液、碱性废液、酸蚀废液、显影废液）、含氰喷淋废水、酸碱喷淋废水、地面冲洗废水、纯水制备浓水。</w:t>
      </w:r>
    </w:p>
    <w:p>
      <w:pPr>
        <w:pStyle w:val="6"/>
        <w:spacing w:line="360" w:lineRule="auto"/>
        <w:rPr>
          <w:rFonts w:hint="default" w:ascii="Times New Roman" w:hAnsi="Times New Roman" w:eastAsia="宋体" w:cs="Times New Roman"/>
          <w:color w:val="auto"/>
          <w:sz w:val="24"/>
        </w:rPr>
      </w:pPr>
      <w:r>
        <w:rPr>
          <w:rFonts w:hint="default" w:ascii="Times New Roman" w:hAnsi="Times New Roman" w:eastAsia="宋体" w:cs="Times New Roman"/>
          <w:sz w:val="24"/>
          <w:szCs w:val="24"/>
          <w:highlight w:val="none"/>
          <w:lang w:val="en-US" w:eastAsia="zh-CN"/>
        </w:rPr>
        <w:t>含镍废水经预处理后，与一般清洗废水进入一般清洗废水处理系统，处理后的废水回用于纯水制备或地面冲洗、绿化；含氰清洗废水、含氰喷淋废水、酸碱废液、含铜清洗废水经各自预处理设施处理后，与一般清洗废水处理系统产生的浓水、有机清洗废水、生活污水进入有机清洗废水处理系统，处理后的废水接管至东台市城东污水处理厂；酸碱喷淋废水、地面冲洗废水、纯水制备浓水与有机清洗废水处理系统处理后的废水接管至东台市城东污水处理厂。</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宋体" w:cs="Times New Roman"/>
          <w:b/>
          <w:bCs/>
          <w:color w:val="auto"/>
          <w:sz w:val="24"/>
          <w:lang w:eastAsia="zh-CN"/>
        </w:rPr>
      </w:pPr>
      <w:r>
        <w:rPr>
          <w:rFonts w:hint="default" w:ascii="Times New Roman" w:hAnsi="Times New Roman" w:eastAsia="宋体" w:cs="Times New Roman"/>
          <w:b/>
          <w:bCs/>
          <w:color w:val="auto"/>
          <w:sz w:val="24"/>
        </w:rPr>
        <w:t>（</w:t>
      </w:r>
      <w:r>
        <w:rPr>
          <w:rFonts w:hint="default" w:ascii="Times New Roman" w:hAnsi="Times New Roman" w:eastAsia="宋体" w:cs="Times New Roman"/>
          <w:b/>
          <w:bCs/>
          <w:color w:val="auto"/>
          <w:sz w:val="24"/>
          <w:lang w:eastAsia="zh-CN"/>
        </w:rPr>
        <w:t>二</w:t>
      </w:r>
      <w:r>
        <w:rPr>
          <w:rFonts w:hint="default" w:ascii="Times New Roman" w:hAnsi="Times New Roman" w:eastAsia="宋体" w:cs="Times New Roman"/>
          <w:b/>
          <w:bCs/>
          <w:color w:val="auto"/>
          <w:sz w:val="24"/>
        </w:rPr>
        <w:t>）</w:t>
      </w:r>
      <w:r>
        <w:rPr>
          <w:rFonts w:hint="default" w:ascii="Times New Roman" w:hAnsi="Times New Roman" w:eastAsia="宋体" w:cs="Times New Roman"/>
          <w:b/>
          <w:bCs/>
          <w:color w:val="auto"/>
          <w:sz w:val="24"/>
          <w:lang w:eastAsia="zh-CN"/>
        </w:rPr>
        <w:t>废气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kern w:val="2"/>
          <w:sz w:val="24"/>
          <w:szCs w:val="24"/>
          <w:highlight w:val="none"/>
          <w:lang w:val="en-US" w:eastAsia="zh-CN" w:bidi="ar-SA"/>
        </w:rPr>
      </w:pPr>
      <w:r>
        <w:rPr>
          <w:rFonts w:hint="default" w:ascii="Times New Roman" w:hAnsi="Times New Roman" w:eastAsia="宋体" w:cs="Times New Roman"/>
          <w:kern w:val="2"/>
          <w:sz w:val="24"/>
          <w:szCs w:val="24"/>
          <w:highlight w:val="none"/>
          <w:lang w:val="en-US" w:eastAsia="zh-CN" w:bidi="ar-SA"/>
        </w:rPr>
        <w:t>本项目产生的废气主要有FPC及刚挠结合板生产线中开料工序产生的粉尘废气；微蚀、抗氧化、除油、电镀铜、酸洗、预浸工序产生的酸性废气（硫酸雾、氮氧化物、氯化氢）；化学镀工序产生的碱性废气（氨）；化学镍金工序产生的含氰废气；丝网印刷、回流阻焊工序产生的有机废气；锅炉产生的燃烧废气；污水处理站产生的恶臭废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kern w:val="2"/>
          <w:sz w:val="24"/>
          <w:szCs w:val="24"/>
          <w:highlight w:val="none"/>
          <w:lang w:val="en-US" w:eastAsia="zh-CN" w:bidi="ar-SA"/>
        </w:rPr>
        <w:t>FPC及刚挠结合板生产线中产生的粉尘废气、酸性废气经二级碱喷淋处理后通过25米高排气筒排放；碱性废气经二级酸喷淋处理后通过25米高排气筒排放；含氰废气经二级喷淋吸收氧化处理后通过25米高排气筒排放；有机废气经光催化氧化+活性炭吸附处理后通过33米高排气筒排放；锅炉燃烧废气通过22米高排气筒排放（锅炉已安装低氮燃烧装置）；未捕集的废气及污水处理站产生的恶臭废气呈无组织排放。</w:t>
      </w:r>
    </w:p>
    <w:p>
      <w:pPr>
        <w:keepNext w:val="0"/>
        <w:keepLines w:val="0"/>
        <w:pageBreakBefore w:val="0"/>
        <w:widowControl w:val="0"/>
        <w:kinsoku/>
        <w:wordWrap/>
        <w:overflowPunct/>
        <w:topLinePunct w:val="0"/>
        <w:autoSpaceDE/>
        <w:autoSpaceDN/>
        <w:bidi w:val="0"/>
        <w:adjustRightInd/>
        <w:spacing w:line="360" w:lineRule="auto"/>
        <w:ind w:left="478" w:leftChars="228" w:firstLine="0" w:firstLineChars="0"/>
        <w:textAlignment w:val="auto"/>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w:t>
      </w:r>
      <w:r>
        <w:rPr>
          <w:rFonts w:hint="default" w:ascii="Times New Roman" w:hAnsi="Times New Roman" w:eastAsia="宋体" w:cs="Times New Roman"/>
          <w:b/>
          <w:bCs/>
          <w:color w:val="auto"/>
          <w:sz w:val="24"/>
          <w:lang w:eastAsia="zh-CN"/>
        </w:rPr>
        <w:t>三</w:t>
      </w:r>
      <w:r>
        <w:rPr>
          <w:rFonts w:hint="default" w:ascii="Times New Roman" w:hAnsi="Times New Roman" w:eastAsia="宋体" w:cs="Times New Roman"/>
          <w:b/>
          <w:bCs/>
          <w:color w:val="auto"/>
          <w:sz w:val="24"/>
        </w:rPr>
        <w:t>）噪声</w:t>
      </w:r>
    </w:p>
    <w:p>
      <w:pPr>
        <w:keepNext w:val="0"/>
        <w:keepLines w:val="0"/>
        <w:suppressLineNumbers w:val="0"/>
        <w:snapToGrid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val="en-US" w:eastAsia="zh-CN"/>
        </w:rPr>
        <w:t>本项目产生的噪声的产生源主要为各类风机、水泵等设备，主要通过选用低噪声设备、设备减振、厂房隔声、绿化隔声等措施降低噪声对环境的影响。</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w:t>
      </w:r>
      <w:r>
        <w:rPr>
          <w:rFonts w:hint="default" w:ascii="Times New Roman" w:hAnsi="Times New Roman" w:eastAsia="宋体" w:cs="Times New Roman"/>
          <w:b/>
          <w:bCs/>
          <w:color w:val="auto"/>
          <w:sz w:val="24"/>
          <w:lang w:eastAsia="zh-CN"/>
        </w:rPr>
        <w:t>四</w:t>
      </w:r>
      <w:r>
        <w:rPr>
          <w:rFonts w:hint="default" w:ascii="Times New Roman" w:hAnsi="Times New Roman" w:eastAsia="宋体" w:cs="Times New Roman"/>
          <w:b/>
          <w:bCs/>
          <w:color w:val="auto"/>
          <w:sz w:val="24"/>
        </w:rPr>
        <w:t>）固体废物</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本项目产生的固体废物主要有FPC/刚挠结合板不合格品、废活性炭、废感光膜、废含汞灯管、含铜废液、蚀刻废液、含镍废液、含氰废液、废油墨、废包容器（油墨、化学品）、含铜污泥、含镍污泥、过滤吸附物（滤芯）、含油抹布、酸性废液、碱性废液、显影废液、微蚀废液。</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val="en-US" w:eastAsia="zh-CN"/>
        </w:rPr>
        <w:t>以上固体废弃物均属于危险废物，其中FPC/刚挠结合板不合格品、废活性炭、废感光膜、废含汞灯管、含铜废液、蚀刻废液、含镍废液、含氰废液、废油墨、废包容器（油墨、化学品）、含铜污泥、含镍污泥、过滤吸附物（滤芯）、含油抹布委托有资质单位处置；酸性废液、碱性废液、显影废液、微蚀废液进入厂区污水处理站做为废水处理。生活垃圾委托环卫部门统一清运。</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四、环境保护设施调试效果</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highlight w:val="none"/>
          <w:lang w:val="en-US" w:eastAsia="zh-CN"/>
        </w:rPr>
        <w:t>2022年7月1日、2日、4日、5日、6日、7日</w:t>
      </w:r>
      <w:r>
        <w:rPr>
          <w:rFonts w:hint="default" w:ascii="Times New Roman" w:hAnsi="Times New Roman" w:eastAsia="宋体" w:cs="Times New Roman"/>
          <w:color w:val="auto"/>
          <w:sz w:val="24"/>
          <w:highlight w:val="none"/>
          <w:shd w:val="clear" w:color="auto" w:fill="auto"/>
          <w:lang w:val="en-US" w:eastAsia="zh-CN"/>
        </w:rPr>
        <w:t>，</w:t>
      </w:r>
      <w:r>
        <w:rPr>
          <w:rFonts w:hint="eastAsia" w:ascii="Times New Roman" w:hAnsi="Times New Roman" w:eastAsia="宋体" w:cs="Times New Roman"/>
          <w:color w:val="auto"/>
          <w:sz w:val="24"/>
          <w:highlight w:val="none"/>
          <w:lang w:eastAsia="zh-CN"/>
        </w:rPr>
        <w:t>江苏喜锐信息科技有限公司</w:t>
      </w:r>
      <w:r>
        <w:rPr>
          <w:rFonts w:hint="default" w:ascii="Times New Roman" w:hAnsi="Times New Roman" w:eastAsia="宋体" w:cs="Times New Roman"/>
          <w:color w:val="auto"/>
          <w:sz w:val="24"/>
          <w:highlight w:val="none"/>
          <w:lang w:eastAsia="zh-CN"/>
        </w:rPr>
        <w:t>委托江苏鑫翰环境监测科技有限公司对“电脑键盘及5G配套FPC刚挠结合板项目</w:t>
      </w:r>
      <w:r>
        <w:rPr>
          <w:rFonts w:hint="default" w:ascii="Times New Roman" w:hAnsi="Times New Roman" w:eastAsia="宋体" w:cs="Times New Roman"/>
          <w:color w:val="auto"/>
          <w:sz w:val="24"/>
          <w:highlight w:val="none"/>
          <w:lang w:val="en-US" w:eastAsia="zh-CN"/>
        </w:rPr>
        <w:t>（年产挠性板17.5万m²、刚挠结合板7.5万m²部分）及供热系统技术改造项目</w:t>
      </w:r>
      <w:r>
        <w:rPr>
          <w:rFonts w:hint="default"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highlight w:val="none"/>
        </w:rPr>
        <w:t>实</w:t>
      </w:r>
      <w:r>
        <w:rPr>
          <w:rFonts w:hint="default" w:ascii="Times New Roman" w:hAnsi="Times New Roman" w:eastAsia="宋体" w:cs="Times New Roman"/>
          <w:color w:val="auto"/>
          <w:sz w:val="24"/>
        </w:rPr>
        <w:t>施了竣工验收监测。验收监测期间，</w:t>
      </w:r>
      <w:r>
        <w:rPr>
          <w:rFonts w:hint="default" w:ascii="Times New Roman" w:hAnsi="Times New Roman" w:eastAsia="宋体" w:cs="Times New Roman"/>
          <w:color w:val="auto"/>
          <w:sz w:val="24"/>
          <w:lang w:val="en-US" w:eastAsia="zh-CN"/>
        </w:rPr>
        <w:t>工况稳定</w:t>
      </w:r>
      <w:r>
        <w:rPr>
          <w:rFonts w:hint="default" w:ascii="Times New Roman" w:hAnsi="Times New Roman" w:eastAsia="宋体" w:cs="Times New Roman"/>
          <w:color w:val="auto"/>
          <w:sz w:val="24"/>
        </w:rPr>
        <w:t>。</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（一）污染物达标排放情况</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（1）废水</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eastAsia="zh-CN"/>
        </w:rPr>
        <w:t>验收监测期间，</w:t>
      </w:r>
      <w:r>
        <w:rPr>
          <w:rFonts w:hint="default" w:ascii="Times New Roman" w:hAnsi="Times New Roman" w:eastAsia="宋体" w:cs="Times New Roman"/>
          <w:color w:val="auto"/>
          <w:sz w:val="24"/>
          <w:lang w:val="en-US" w:eastAsia="zh-CN"/>
        </w:rPr>
        <w:t>本项目废水接管口中pH值及各污染物的日均排放浓度均符合东台市城东污水处理厂接管标准，总铜、总镍、总氰化物的日均排放浓度均符合《城镇污水处理厂污染物排放标准》（GB18918-2002）表1一级A标准；本项目车间排口中总镍的日均排放浓度符合《电镀污染物排放标准》（GB21900-2008）表2标准；本项目回用水中pH值及各污染物的日均排放浓度均符合《城市污水再生利用工业用水水质》（GB/T19923-2005）表1中工业与产品用水标准及《城市污水再生利用城市杂用水水质》（GB/T18920-2002）表1中道路清扫、消防及城市绿化标准。</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（2）有组织废气</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验收监测期间，本项目酸性废气排口中颗粒物、硫酸雾、氯化氢、氮氧化物的排放浓度均符合《电镀污染物排放标准》（GB21900-2008）表5标准，最高排放速率均符合《大气污染物综合排放标准》（GB16297-1996）表2标准及江苏省《大气污染物综合排放标准》（DB32/4041-2021）表1标准；碱性废气排口中氨的排放速率符合《恶臭污染物排放标准》（GB14554-93）中表2标准；含氰废气中氰化氢的的排放浓度符合《电镀污染物排放标准》（GB21900-2008）表5标准，最高排放速率符合《大气污染物综合排放标准》（GB16297-1996）表2标准及江苏省《大气污染物综合排放标准》（DB32/4041-2021）表1标准；有机废气中非甲烷总烃的排放浓度符合天津市《工业企业挥发性有机物排放控制标准》（DB12/524-2020）表1中电子工业行业的相关限值及江苏省《大气污染物综合排放标准》（DB32/4041-2021）表1标准；锅炉燃烧废气中颗粒物、二氧化硫的排放浓度符合《锅炉大气污染物排放标准》（GB13271-2014）表3中重点地区特别排放限值，氮氧化物的排放浓度符合《关于印发&lt;盐城市2018-2019年秋冬季大气污染综合治理攻坚行动方案&gt;的通知》（盐大气办〔2018〕28号）中的限值要求。</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宋体" w:cs="Times New Roman"/>
          <w:b/>
          <w:bCs/>
          <w:color w:val="auto"/>
          <w:sz w:val="24"/>
          <w:lang w:val="en-US" w:eastAsia="zh-CN"/>
        </w:rPr>
      </w:pPr>
      <w:r>
        <w:rPr>
          <w:rFonts w:hint="default" w:ascii="Times New Roman" w:hAnsi="Times New Roman" w:eastAsia="宋体" w:cs="Times New Roman"/>
          <w:b/>
          <w:bCs/>
          <w:color w:val="auto"/>
          <w:sz w:val="24"/>
        </w:rPr>
        <w:t>（3）无组织废气</w:t>
      </w:r>
    </w:p>
    <w:p>
      <w:pPr>
        <w:keepNext w:val="0"/>
        <w:keepLines w:val="0"/>
        <w:suppressLineNumbers w:val="0"/>
        <w:snapToGrid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验收监测期间</w:t>
      </w:r>
      <w:r>
        <w:rPr>
          <w:rFonts w:hint="eastAsia"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val="en-US" w:eastAsia="zh-CN"/>
        </w:rPr>
        <w:t>本项目无组织废气中臭气浓度及氨、硫化氢的排放浓度均符合《恶臭污染物排放标准》（GB14554-1993）中表1中二级“新改扩建”标准；颗粒物、硫酸雾、氯化氢、氮氧化物、氰化氢、非甲烷总烃的排放浓度均符合《大气污染物综合排放标准》（GB16297-1996）中表2标准及江苏省《大气污染物综合排放标准》（DB32/4041-2021）表3标准；5#厂房车间外1m的非甲烷总烃排放浓度符合《挥发性有机物无组织排放控制标准》（GB37822-2019）标准及江苏省《大气污染物综合排放标准》（DB32/4041-2021）表2标准。</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（4）噪声</w:t>
      </w:r>
    </w:p>
    <w:p>
      <w:pPr>
        <w:keepNext w:val="0"/>
        <w:keepLines w:val="0"/>
        <w:suppressLineNumbers w:val="0"/>
        <w:snapToGrid w:val="0"/>
        <w:spacing w:before="0" w:beforeAutospacing="0" w:after="0" w:afterAutospacing="0" w:line="360" w:lineRule="auto"/>
        <w:ind w:left="0" w:right="0" w:firstLine="480" w:firstLineChars="200"/>
        <w:rPr>
          <w:rFonts w:hint="eastAsia" w:ascii="Times New Roman" w:hAnsi="Times New Roman" w:eastAsia="宋体" w:cs="Times New Roman"/>
          <w:color w:val="auto"/>
          <w:sz w:val="24"/>
          <w:highlight w:val="none"/>
          <w:lang w:val="en-US" w:eastAsia="zh-CN"/>
        </w:rPr>
      </w:pPr>
      <w:r>
        <w:rPr>
          <w:rFonts w:hint="default" w:ascii="Times New Roman" w:hAnsi="Times New Roman" w:eastAsia="宋体" w:cs="Times New Roman"/>
          <w:sz w:val="24"/>
        </w:rPr>
        <w:t>验收监测期间</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本项目东、南、北侧厂界噪声排放均符合《工业企业厂界环境噪声排放标准》（GB12348-2008）3类标准。</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（5）固体废物</w:t>
      </w:r>
    </w:p>
    <w:p>
      <w:pPr>
        <w:keepNext w:val="0"/>
        <w:keepLines w:val="0"/>
        <w:suppressLineNumbers w:val="0"/>
        <w:snapToGrid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本项目产生的固体废物主要有FPC/刚挠结合板不合格品、废活性炭、废感光膜、废含汞灯管、含铜废液、蚀刻废液、含镍废液、含氰废液、废油墨、废包容器（油墨、化学品）、含铜污泥、含镍污泥、过滤吸附物（滤芯）、含油抹布、酸性废液、碱性废液、显影废液、微蚀废液。</w:t>
      </w:r>
    </w:p>
    <w:p>
      <w:pPr>
        <w:keepNext w:val="0"/>
        <w:keepLines w:val="0"/>
        <w:suppressLineNumbers w:val="0"/>
        <w:snapToGrid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lang w:val="en-US" w:eastAsia="zh-CN"/>
        </w:rPr>
        <w:t>以上固体废弃物均属于危险废物，其中FPC/刚挠结合板不合格品、废活性炭、废感光膜、废含汞灯管、含铜废液、蚀刻废液、含镍废液、含氰废液、废油墨、废包容器（油墨、化学品）、含铜污泥、含镍污泥、过滤吸附物（滤芯）、含油抹布委托有资质单位处置；酸性废液、碱性废液、显影废液、微蚀废液进入厂区污水处理站做为废水处理。生活垃圾委托环卫部门统一清运。</w:t>
      </w:r>
    </w:p>
    <w:p>
      <w:pPr>
        <w:keepNext w:val="0"/>
        <w:keepLines w:val="0"/>
        <w:suppressLineNumbers w:val="0"/>
        <w:snapToGrid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rPr>
        <w:t>一般固废暂存场所满足《一般工业固体废弃物贮存、处置场污染控制标准》（GB18599-2001）及修改单中的相关标准要求；危险废物贮存场所满足《危险废物贮存污染控制标准》（GB18597-2001）及2013年修改单、《省生态环境厅关于进一步加强危险废物污染防治工作的实施意见》（苏环办〔2019〕327号）相关标准。建立了相关台账、管理制度；编制了专项应急预案。</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宋体" w:cs="Times New Roman"/>
          <w:b/>
          <w:bCs/>
          <w:color w:val="auto"/>
          <w:sz w:val="24"/>
          <w:lang w:val="en-US" w:eastAsia="zh-CN"/>
        </w:rPr>
      </w:pPr>
      <w:r>
        <w:rPr>
          <w:rFonts w:hint="default" w:ascii="Times New Roman" w:hAnsi="Times New Roman" w:eastAsia="宋体" w:cs="Times New Roman"/>
          <w:b/>
          <w:bCs/>
          <w:color w:val="auto"/>
          <w:sz w:val="24"/>
          <w:lang w:val="en-US" w:eastAsia="zh-CN"/>
        </w:rPr>
        <w:t>（6）污染物排放总量</w:t>
      </w:r>
    </w:p>
    <w:p>
      <w:pPr>
        <w:keepNext w:val="0"/>
        <w:keepLines w:val="0"/>
        <w:suppressLineNumbers w:val="0"/>
        <w:snapToGrid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根据验收监测结果核算，本项目废气中颗粒物（锅炉）</w:t>
      </w:r>
      <w:r>
        <w:rPr>
          <w:rFonts w:hint="eastAsia"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lang w:val="en-US" w:eastAsia="zh-CN"/>
        </w:rPr>
        <w:t>二氧化硫</w:t>
      </w:r>
      <w:r>
        <w:rPr>
          <w:rFonts w:hint="eastAsia"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lang w:val="en-US" w:eastAsia="zh-CN"/>
        </w:rPr>
        <w:t>氮氧化物</w:t>
      </w:r>
      <w:r>
        <w:rPr>
          <w:rFonts w:hint="eastAsia"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lang w:val="en-US" w:eastAsia="zh-CN"/>
        </w:rPr>
        <w:t>氨</w:t>
      </w:r>
      <w:r>
        <w:rPr>
          <w:rFonts w:hint="eastAsia"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lang w:val="en-US" w:eastAsia="zh-CN"/>
        </w:rPr>
        <w:t>颗粒物（开料）</w:t>
      </w:r>
      <w:r>
        <w:rPr>
          <w:rFonts w:hint="eastAsia"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lang w:val="en-US" w:eastAsia="zh-CN"/>
        </w:rPr>
        <w:t>硫酸雾</w:t>
      </w:r>
      <w:r>
        <w:rPr>
          <w:rFonts w:hint="eastAsia"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lang w:val="en-US" w:eastAsia="zh-CN"/>
        </w:rPr>
        <w:t>氯化氢</w:t>
      </w:r>
      <w:r>
        <w:rPr>
          <w:rFonts w:hint="eastAsia"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lang w:val="en-US" w:eastAsia="zh-CN"/>
        </w:rPr>
        <w:t>氮氧化物</w:t>
      </w:r>
      <w:r>
        <w:rPr>
          <w:rFonts w:hint="eastAsia"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lang w:val="en-US" w:eastAsia="zh-CN"/>
        </w:rPr>
        <w:t>氰化氢</w:t>
      </w:r>
      <w:r>
        <w:rPr>
          <w:rFonts w:hint="eastAsia"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lang w:val="en-US" w:eastAsia="zh-CN"/>
        </w:rPr>
        <w:t>非甲烷总烃，废水中废水量</w:t>
      </w:r>
      <w:r>
        <w:rPr>
          <w:rFonts w:hint="eastAsia"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lang w:val="en-US" w:eastAsia="zh-CN"/>
        </w:rPr>
        <w:t>化学需氧量</w:t>
      </w:r>
      <w:r>
        <w:rPr>
          <w:rFonts w:hint="eastAsia"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lang w:val="en-US" w:eastAsia="zh-CN"/>
        </w:rPr>
        <w:t>氨氮</w:t>
      </w:r>
      <w:r>
        <w:rPr>
          <w:rFonts w:hint="eastAsia"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lang w:val="en-US" w:eastAsia="zh-CN"/>
        </w:rPr>
        <w:t>总氮</w:t>
      </w:r>
      <w:r>
        <w:rPr>
          <w:rFonts w:hint="eastAsia"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lang w:val="en-US" w:eastAsia="zh-CN"/>
        </w:rPr>
        <w:t>总磷</w:t>
      </w:r>
      <w:r>
        <w:rPr>
          <w:rFonts w:hint="eastAsia"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lang w:val="en-US" w:eastAsia="zh-CN"/>
        </w:rPr>
        <w:t>悬浮物</w:t>
      </w:r>
      <w:r>
        <w:rPr>
          <w:rFonts w:hint="eastAsia"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lang w:val="en-US" w:eastAsia="zh-CN"/>
        </w:rPr>
        <w:t>总镍</w:t>
      </w:r>
      <w:r>
        <w:rPr>
          <w:rFonts w:hint="eastAsia"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lang w:val="en-US" w:eastAsia="zh-CN"/>
        </w:rPr>
        <w:t>总氰化物</w:t>
      </w:r>
      <w:r>
        <w:rPr>
          <w:rFonts w:hint="eastAsia"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lang w:val="en-US" w:eastAsia="zh-CN"/>
        </w:rPr>
        <w:t>总铜</w:t>
      </w:r>
      <w:r>
        <w:rPr>
          <w:rFonts w:hint="eastAsia"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lang w:val="en-US" w:eastAsia="zh-CN"/>
        </w:rPr>
        <w:t>硫化物</w:t>
      </w:r>
      <w:r>
        <w:rPr>
          <w:rFonts w:hint="eastAsia" w:ascii="Times New Roman" w:hAnsi="Times New Roman" w:eastAsia="宋体" w:cs="Times New Roman"/>
          <w:color w:val="auto"/>
          <w:sz w:val="24"/>
          <w:lang w:val="en-US" w:eastAsia="zh-CN"/>
        </w:rPr>
        <w:t>的年</w:t>
      </w:r>
      <w:r>
        <w:rPr>
          <w:rFonts w:hint="default" w:ascii="Times New Roman" w:hAnsi="Times New Roman" w:eastAsia="宋体" w:cs="Times New Roman"/>
          <w:color w:val="auto"/>
          <w:sz w:val="24"/>
          <w:lang w:val="en-US" w:eastAsia="zh-CN"/>
        </w:rPr>
        <w:t>排放</w:t>
      </w:r>
      <w:r>
        <w:rPr>
          <w:rFonts w:hint="eastAsia" w:ascii="Times New Roman" w:hAnsi="Times New Roman" w:eastAsia="宋体" w:cs="Times New Roman"/>
          <w:color w:val="auto"/>
          <w:sz w:val="24"/>
          <w:lang w:val="en-US" w:eastAsia="zh-CN"/>
        </w:rPr>
        <w:t>总量</w:t>
      </w:r>
      <w:r>
        <w:rPr>
          <w:rFonts w:hint="default" w:ascii="Times New Roman" w:hAnsi="Times New Roman" w:eastAsia="宋体" w:cs="Times New Roman"/>
          <w:color w:val="auto"/>
          <w:sz w:val="24"/>
          <w:lang w:val="en-US" w:eastAsia="zh-CN"/>
        </w:rPr>
        <w:t>符合</w:t>
      </w:r>
      <w:r>
        <w:rPr>
          <w:rFonts w:hint="eastAsia" w:ascii="Times New Roman" w:hAnsi="Times New Roman" w:eastAsia="宋体" w:cs="Times New Roman"/>
          <w:color w:val="auto"/>
          <w:sz w:val="24"/>
          <w:lang w:val="en-US" w:eastAsia="zh-CN"/>
        </w:rPr>
        <w:t>环评及批复</w:t>
      </w:r>
      <w:r>
        <w:rPr>
          <w:rFonts w:hint="default" w:ascii="Times New Roman" w:hAnsi="Times New Roman" w:eastAsia="宋体" w:cs="Times New Roman"/>
          <w:color w:val="auto"/>
          <w:sz w:val="24"/>
          <w:lang w:val="en-US" w:eastAsia="zh-CN"/>
        </w:rPr>
        <w:t>总量控制要求。</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宋体" w:cs="Times New Roman"/>
          <w:b/>
          <w:bCs/>
          <w:color w:val="auto"/>
          <w:sz w:val="24"/>
          <w:lang w:val="en-US" w:eastAsia="zh-CN"/>
        </w:rPr>
      </w:pPr>
      <w:r>
        <w:rPr>
          <w:rFonts w:hint="default" w:ascii="Times New Roman" w:hAnsi="Times New Roman" w:eastAsia="宋体" w:cs="Times New Roman"/>
          <w:b/>
          <w:bCs/>
          <w:color w:val="auto"/>
          <w:sz w:val="24"/>
          <w:lang w:val="en-US" w:eastAsia="zh-CN"/>
        </w:rPr>
        <w:t>（7）卫生防护距离</w:t>
      </w:r>
    </w:p>
    <w:p>
      <w:pPr>
        <w:keepNext w:val="0"/>
        <w:keepLines w:val="0"/>
        <w:suppressLineNumbers w:val="0"/>
        <w:snapToGrid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根据环评及审批意见，本项目以1#~3#、5#车间边界及污水处理站边界各设置100m卫生防护距离。根据现场调查，本项目卫生防护范围内无居民点等环境敏感目标。</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宋体" w:cs="Times New Roman"/>
          <w:b/>
          <w:bCs/>
          <w:color w:val="auto"/>
          <w:sz w:val="24"/>
          <w:lang w:eastAsia="zh-CN"/>
        </w:rPr>
      </w:pPr>
      <w:r>
        <w:rPr>
          <w:rFonts w:hint="default" w:ascii="Times New Roman" w:hAnsi="Times New Roman" w:eastAsia="宋体" w:cs="Times New Roman"/>
          <w:b/>
          <w:bCs/>
          <w:color w:val="auto"/>
          <w:sz w:val="24"/>
          <w:lang w:eastAsia="zh-CN"/>
        </w:rPr>
        <w:t>五、验收结论</w:t>
      </w:r>
    </w:p>
    <w:p>
      <w:pPr>
        <w:spacing w:line="360" w:lineRule="auto"/>
        <w:ind w:firstLine="480" w:firstLineChars="200"/>
        <w:rPr>
          <w:rFonts w:hint="default" w:ascii="Times New Roman" w:hAnsi="Times New Roman" w:eastAsia="宋体" w:cs="Times New Roman"/>
          <w:color w:val="auto"/>
          <w:sz w:val="28"/>
          <w:szCs w:val="28"/>
        </w:rPr>
      </w:pPr>
      <w:r>
        <w:rPr>
          <w:rFonts w:hint="default" w:ascii="Times New Roman" w:hAnsi="Times New Roman" w:eastAsia="宋体" w:cs="Times New Roman"/>
          <w:b/>
          <w:bCs/>
          <w:color w:val="auto"/>
          <w:sz w:val="24"/>
          <w:szCs w:val="24"/>
        </w:rPr>
        <w:t>1、建设单位不得提出验收合格的情形核查</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按《建设项目竣工环境保护验收暂行办法》中第八条所规定的验收不合格情形对项目逐一对照核查，核查内容如表</w:t>
      </w:r>
      <w:r>
        <w:rPr>
          <w:rFonts w:hint="default" w:ascii="Times New Roman" w:hAnsi="Times New Roman" w:eastAsia="宋体" w:cs="Times New Roman"/>
          <w:color w:val="auto"/>
          <w:sz w:val="24"/>
          <w:lang w:val="en-US" w:eastAsia="zh-CN"/>
        </w:rPr>
        <w:t>2</w:t>
      </w:r>
      <w:r>
        <w:rPr>
          <w:rFonts w:hint="default" w:ascii="Times New Roman" w:hAnsi="Times New Roman" w:eastAsia="宋体" w:cs="Times New Roman"/>
          <w:color w:val="auto"/>
          <w:sz w:val="24"/>
        </w:rPr>
        <w:t>。</w:t>
      </w:r>
    </w:p>
    <w:p>
      <w:pPr>
        <w:spacing w:line="360" w:lineRule="auto"/>
        <w:jc w:val="center"/>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szCs w:val="24"/>
        </w:rPr>
        <w:t>表</w:t>
      </w:r>
      <w:r>
        <w:rPr>
          <w:rFonts w:hint="default" w:ascii="Times New Roman" w:hAnsi="Times New Roman" w:eastAsia="宋体" w:cs="Times New Roman"/>
          <w:b/>
          <w:bCs/>
          <w:color w:val="auto"/>
          <w:sz w:val="24"/>
          <w:szCs w:val="24"/>
          <w:lang w:val="en-US" w:eastAsia="zh-CN"/>
        </w:rPr>
        <w:t>2</w:t>
      </w:r>
      <w:r>
        <w:rPr>
          <w:rFonts w:hint="default" w:ascii="Times New Roman" w:hAnsi="Times New Roman" w:eastAsia="宋体" w:cs="Times New Roman"/>
          <w:b/>
          <w:bCs/>
          <w:color w:val="auto"/>
          <w:sz w:val="24"/>
          <w:szCs w:val="24"/>
        </w:rPr>
        <w:t xml:space="preserve"> 建设单位不得提出验收合格的情形核查</w:t>
      </w:r>
    </w:p>
    <w:tbl>
      <w:tblPr>
        <w:tblStyle w:val="24"/>
        <w:tblW w:w="8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8"/>
        <w:gridCol w:w="3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blHeader/>
          <w:jc w:val="center"/>
        </w:trPr>
        <w:tc>
          <w:tcPr>
            <w:tcW w:w="5458" w:type="dxa"/>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建设单位不得提出验收合格的情形</w:t>
            </w:r>
          </w:p>
        </w:tc>
        <w:tc>
          <w:tcPr>
            <w:tcW w:w="3002" w:type="dxa"/>
          </w:tcPr>
          <w:p>
            <w:pPr>
              <w:ind w:firstLine="420" w:firstLineChars="200"/>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本项目情况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5458" w:type="dxa"/>
          </w:tcPr>
          <w:p>
            <w:pPr>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（一）未按环境影响报告书（表）及其审批部门审批决定要求建成环境保护设施，或者环境保护设施不能与主体工程同时投产或者使用的；</w:t>
            </w:r>
          </w:p>
        </w:tc>
        <w:tc>
          <w:tcPr>
            <w:tcW w:w="3002" w:type="dxa"/>
          </w:tcPr>
          <w:p>
            <w:pPr>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按环评及审批要求建成环保设施，与主体工程同时投产使用。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5458" w:type="dxa"/>
          </w:tcPr>
          <w:p>
            <w:pPr>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（二）污染物排放不符合国家和地方相关标准、环境影响报告书（表）及其审批部门审批决定或者重点污染物排放总量控制指标要求的；</w:t>
            </w:r>
          </w:p>
        </w:tc>
        <w:tc>
          <w:tcPr>
            <w:tcW w:w="3002" w:type="dxa"/>
          </w:tcPr>
          <w:p>
            <w:pPr>
              <w:ind w:firstLine="420" w:firstLineChars="200"/>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5458" w:type="dxa"/>
          </w:tcPr>
          <w:p>
            <w:pPr>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三）环境影响报告书（表）经批准后，该建设项目的性质、规模、地点、采用的生产工艺或者防治污染、防止生态破坏的措施发生重大变动，建设单位未重新报批环境影响报告书（表）或者环境影响报告书（表）未经批准的；</w:t>
            </w:r>
          </w:p>
        </w:tc>
        <w:tc>
          <w:tcPr>
            <w:tcW w:w="3002" w:type="dxa"/>
          </w:tcPr>
          <w:p>
            <w:pPr>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未发生重大变化。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5458" w:type="dxa"/>
          </w:tcPr>
          <w:p>
            <w:pPr>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（四）建设过程中造成重大环境污染未治理完成，或者造成重大生态破坏未恢复的；</w:t>
            </w:r>
          </w:p>
        </w:tc>
        <w:tc>
          <w:tcPr>
            <w:tcW w:w="3002" w:type="dxa"/>
          </w:tcPr>
          <w:p>
            <w:pPr>
              <w:ind w:firstLine="420" w:firstLineChars="200"/>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5458" w:type="dxa"/>
          </w:tcPr>
          <w:p>
            <w:pPr>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（五）纳入排污许可管理的建设项目，无证排污或者不按证排污的；</w:t>
            </w:r>
          </w:p>
        </w:tc>
        <w:tc>
          <w:tcPr>
            <w:tcW w:w="3002" w:type="dxa"/>
          </w:tcPr>
          <w:p>
            <w:pPr>
              <w:ind w:firstLine="420" w:firstLineChars="200"/>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已取得排污许可证</w:t>
            </w:r>
            <w:r>
              <w:rPr>
                <w:rFonts w:hint="default" w:ascii="Times New Roman" w:hAnsi="Times New Roman" w:eastAsia="宋体" w:cs="Times New Roman"/>
                <w:color w:val="auto"/>
                <w:szCs w:val="21"/>
                <w:lang w:val="en-US" w:eastAsia="zh-CN"/>
              </w:rPr>
              <w:t>。</w:t>
            </w:r>
          </w:p>
          <w:p>
            <w:pPr>
              <w:ind w:firstLine="420" w:firstLineChars="200"/>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许可证编号：91320981MA20J1TM17001Q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5458" w:type="dxa"/>
          </w:tcPr>
          <w:p>
            <w:pPr>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（六）分期建设、分期投入生产或者使用依法应当分期验收的建设项目，其分期建设、分期投入生产或者使用的环境保护设施防治环境污染和生态破坏的能力不能满足其相应主体工程需要的；</w:t>
            </w:r>
          </w:p>
        </w:tc>
        <w:tc>
          <w:tcPr>
            <w:tcW w:w="3002" w:type="dxa"/>
          </w:tcPr>
          <w:p>
            <w:pPr>
              <w:ind w:firstLine="420" w:firstLineChars="200"/>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rPr>
              <w:t>分期建设、分期投入生产或者使用的环境保护设施防治环境污染和生态破坏的能力满足其相应主体工程需要</w:t>
            </w:r>
            <w:r>
              <w:rPr>
                <w:rFonts w:hint="eastAsia" w:ascii="Times New Roman" w:hAnsi="Times New Roman" w:eastAsia="宋体" w:cs="Times New Roman"/>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5458" w:type="dxa"/>
          </w:tcPr>
          <w:p>
            <w:pPr>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（七）建设单位因该建设项目违反国家和地方环境保护法律法规受到处罚，被责令改正，尚未改正完成的；</w:t>
            </w:r>
          </w:p>
        </w:tc>
        <w:tc>
          <w:tcPr>
            <w:tcW w:w="3002" w:type="dxa"/>
          </w:tcPr>
          <w:p>
            <w:pPr>
              <w:ind w:firstLine="420" w:firstLineChars="200"/>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建设单位无因违法行为而收到处罚或责令改正的情形。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58" w:type="dxa"/>
          </w:tcPr>
          <w:p>
            <w:pPr>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（八）验收报告的基础资料数据明显不实，内容存在重大缺项、遗漏，或者验收结论不明确、不合理的；</w:t>
            </w:r>
          </w:p>
        </w:tc>
        <w:tc>
          <w:tcPr>
            <w:tcW w:w="3002" w:type="dxa"/>
          </w:tcPr>
          <w:p>
            <w:pPr>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验收报告的基础资料数据详实、内容完整、符合验收监测要求，验收监测结论明确。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5458" w:type="dxa"/>
          </w:tcPr>
          <w:p>
            <w:pPr>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（九）其他环境保护法律法规规章等规定不得通过环境保护验收的。</w:t>
            </w:r>
          </w:p>
        </w:tc>
        <w:tc>
          <w:tcPr>
            <w:tcW w:w="3002" w:type="dxa"/>
          </w:tcPr>
          <w:p>
            <w:pPr>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w:t>
            </w:r>
          </w:p>
        </w:tc>
      </w:tr>
    </w:tbl>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宋体" w:cs="Times New Roman"/>
          <w:b/>
          <w:bCs/>
          <w:color w:val="auto"/>
          <w:sz w:val="24"/>
          <w:lang w:eastAsia="zh-CN"/>
        </w:rPr>
      </w:pPr>
      <w:r>
        <w:rPr>
          <w:rFonts w:hint="default" w:ascii="Times New Roman" w:hAnsi="Times New Roman" w:eastAsia="宋体" w:cs="Times New Roman"/>
          <w:b/>
          <w:bCs/>
          <w:color w:val="auto"/>
          <w:sz w:val="24"/>
          <w:lang w:eastAsia="zh-CN"/>
        </w:rPr>
        <w:t>2、验收结论</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eastAsia="zh-CN"/>
        </w:rPr>
        <w:t>按《建设项目竣</w:t>
      </w:r>
      <w:r>
        <w:rPr>
          <w:rFonts w:hint="default" w:ascii="Times New Roman" w:hAnsi="Times New Roman" w:eastAsia="宋体" w:cs="Times New Roman"/>
          <w:color w:val="auto"/>
          <w:sz w:val="24"/>
        </w:rPr>
        <w:t>工环境保护验收暂行办法》，本项目按环境影响报告</w:t>
      </w:r>
      <w:r>
        <w:rPr>
          <w:rFonts w:hint="default" w:ascii="Times New Roman" w:hAnsi="Times New Roman" w:eastAsia="宋体" w:cs="Times New Roman"/>
          <w:color w:val="auto"/>
          <w:sz w:val="24"/>
          <w:lang w:val="en-US" w:eastAsia="zh-CN"/>
        </w:rPr>
        <w:t>书</w:t>
      </w:r>
      <w:r>
        <w:rPr>
          <w:rFonts w:hint="default" w:ascii="Times New Roman" w:hAnsi="Times New Roman" w:eastAsia="宋体" w:cs="Times New Roman"/>
          <w:color w:val="auto"/>
          <w:sz w:val="24"/>
        </w:rPr>
        <w:t>及其审批要求建设环境保护设施，环境保护设施与主体工程</w:t>
      </w:r>
      <w:r>
        <w:rPr>
          <w:rFonts w:hint="default" w:ascii="Times New Roman" w:hAnsi="Times New Roman" w:eastAsia="宋体" w:cs="Times New Roman"/>
          <w:color w:val="auto"/>
          <w:sz w:val="24"/>
          <w:lang w:val="en-US" w:eastAsia="zh-CN"/>
        </w:rPr>
        <w:t>同时设计、同时施工、同时投入运行</w:t>
      </w: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lang w:eastAsia="zh-CN"/>
        </w:rPr>
        <w:t>各类</w:t>
      </w:r>
      <w:r>
        <w:rPr>
          <w:rFonts w:hint="default" w:ascii="Times New Roman" w:hAnsi="Times New Roman" w:eastAsia="宋体" w:cs="Times New Roman"/>
          <w:color w:val="auto"/>
          <w:sz w:val="24"/>
        </w:rPr>
        <w:t>污染物排放符合排放标准要求；建设项目的性质、规模、地点、采用的生产工艺、防治污染措施未发生重大变动；建设过程未造成环境污染；本次为</w:t>
      </w:r>
      <w:r>
        <w:rPr>
          <w:rFonts w:hint="default" w:ascii="Times New Roman" w:hAnsi="Times New Roman" w:eastAsia="宋体" w:cs="Times New Roman"/>
          <w:color w:val="auto"/>
          <w:sz w:val="24"/>
          <w:lang w:val="en-US" w:eastAsia="zh-CN"/>
        </w:rPr>
        <w:t>电脑键盘及5G配套FPC刚挠结合板项目（年产挠性板17.5万m²、刚挠结合板7.5万m²部分）及供热系统技术改造项目</w:t>
      </w:r>
      <w:r>
        <w:rPr>
          <w:rFonts w:hint="eastAsia" w:ascii="Times New Roman" w:hAnsi="Times New Roman" w:eastAsia="宋体" w:cs="Times New Roman"/>
          <w:color w:val="auto"/>
          <w:sz w:val="24"/>
          <w:lang w:val="en-US" w:eastAsia="zh-CN"/>
        </w:rPr>
        <w:t>部分验收</w:t>
      </w:r>
      <w:r>
        <w:rPr>
          <w:rFonts w:hint="default" w:ascii="Times New Roman" w:hAnsi="Times New Roman" w:eastAsia="宋体" w:cs="Times New Roman"/>
          <w:color w:val="auto"/>
          <w:sz w:val="24"/>
          <w:highlight w:val="none"/>
        </w:rPr>
        <w:t>；</w:t>
      </w:r>
      <w:r>
        <w:rPr>
          <w:rFonts w:hint="default" w:ascii="Times New Roman" w:hAnsi="Times New Roman" w:eastAsia="宋体" w:cs="Times New Roman"/>
          <w:color w:val="auto"/>
          <w:sz w:val="24"/>
          <w:highlight w:val="none"/>
          <w:lang w:val="en-US" w:eastAsia="zh-CN"/>
        </w:rPr>
        <w:t>建设单位无因违法行为而收到处罚或责令改正的情形</w:t>
      </w:r>
      <w:r>
        <w:rPr>
          <w:rFonts w:hint="default" w:ascii="Times New Roman" w:hAnsi="Times New Roman" w:eastAsia="宋体" w:cs="Times New Roman"/>
          <w:color w:val="auto"/>
          <w:sz w:val="24"/>
          <w:highlight w:val="none"/>
        </w:rPr>
        <w:t>；</w:t>
      </w:r>
      <w:r>
        <w:rPr>
          <w:rFonts w:hint="default" w:ascii="Times New Roman" w:hAnsi="Times New Roman" w:eastAsia="宋体" w:cs="Times New Roman"/>
          <w:color w:val="auto"/>
          <w:sz w:val="24"/>
        </w:rPr>
        <w:t>验收报告的基础资料数据详实、内容完整，验收结论明确。项目基本符合环境保护验收合格条件，且项目不存在《建设项目竣工环境保护验收暂行办法》中第八条所规定的验收不合格情形，故作出</w:t>
      </w:r>
      <w:r>
        <w:rPr>
          <w:rFonts w:hint="eastAsia" w:ascii="Times New Roman" w:hAnsi="Times New Roman" w:eastAsia="宋体" w:cs="Times New Roman"/>
          <w:color w:val="auto"/>
          <w:sz w:val="24"/>
          <w:lang w:eastAsia="zh-CN"/>
        </w:rPr>
        <w:t>江苏喜锐信息科技有限公司</w:t>
      </w:r>
      <w:r>
        <w:rPr>
          <w:rFonts w:hint="default" w:ascii="Times New Roman" w:hAnsi="Times New Roman" w:eastAsia="宋体" w:cs="Times New Roman"/>
          <w:color w:val="auto"/>
          <w:sz w:val="24"/>
          <w:lang w:val="en-US" w:eastAsia="zh-CN"/>
        </w:rPr>
        <w:t>电脑键盘及5G配套FPC刚挠结合板项目（年产挠性板17.5万m²、刚挠结合板7.5万m²部分）及供热系统技术改造项目部分</w:t>
      </w:r>
      <w:r>
        <w:rPr>
          <w:rFonts w:hint="default" w:ascii="Times New Roman" w:hAnsi="Times New Roman" w:eastAsia="宋体" w:cs="Times New Roman"/>
          <w:color w:val="auto"/>
          <w:sz w:val="24"/>
        </w:rPr>
        <w:t>验收合格的意见。</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宋体" w:cs="Times New Roman"/>
          <w:b/>
          <w:bCs/>
          <w:color w:val="auto"/>
          <w:sz w:val="24"/>
          <w:lang w:eastAsia="zh-CN"/>
        </w:rPr>
      </w:pPr>
      <w:r>
        <w:rPr>
          <w:rFonts w:hint="default" w:ascii="Times New Roman" w:hAnsi="Times New Roman" w:eastAsia="宋体" w:cs="Times New Roman"/>
          <w:b/>
          <w:bCs/>
          <w:color w:val="auto"/>
          <w:sz w:val="24"/>
          <w:lang w:eastAsia="zh-CN"/>
        </w:rPr>
        <w:t>六、验收人员信息</w:t>
      </w:r>
    </w:p>
    <w:p>
      <w:pPr>
        <w:spacing w:line="360" w:lineRule="auto"/>
        <w:ind w:firstLine="480" w:firstLineChars="200"/>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本项目验收组人员成见</w:t>
      </w:r>
      <w:r>
        <w:rPr>
          <w:rFonts w:hint="default" w:ascii="Times New Roman" w:hAnsi="Times New Roman" w:eastAsia="宋体" w:cs="Times New Roman"/>
          <w:color w:val="auto"/>
          <w:sz w:val="24"/>
          <w:lang w:val="en-US" w:eastAsia="zh-CN"/>
        </w:rPr>
        <w:t>下表</w:t>
      </w:r>
      <w:r>
        <w:rPr>
          <w:rFonts w:hint="default" w:ascii="Times New Roman" w:hAnsi="Times New Roman" w:eastAsia="宋体" w:cs="Times New Roman"/>
          <w:color w:val="auto"/>
          <w:sz w:val="24"/>
          <w:lang w:eastAsia="zh-CN"/>
        </w:rPr>
        <w:t>。</w:t>
      </w:r>
    </w:p>
    <w:p>
      <w:pPr>
        <w:spacing w:line="360" w:lineRule="auto"/>
        <w:ind w:firstLine="5280" w:firstLineChars="2200"/>
        <w:rPr>
          <w:rFonts w:hint="default" w:ascii="Times New Roman" w:hAnsi="Times New Roman" w:eastAsia="宋体" w:cs="Times New Roman"/>
          <w:color w:val="auto"/>
          <w:sz w:val="24"/>
          <w:highlight w:val="none"/>
          <w:lang w:eastAsia="zh-CN"/>
        </w:rPr>
      </w:pPr>
      <w:r>
        <w:rPr>
          <w:rFonts w:hint="eastAsia" w:ascii="Times New Roman" w:hAnsi="Times New Roman" w:eastAsia="宋体" w:cs="Times New Roman"/>
          <w:color w:val="auto"/>
          <w:sz w:val="24"/>
          <w:highlight w:val="none"/>
          <w:lang w:eastAsia="zh-CN"/>
        </w:rPr>
        <w:t>江苏喜锐信息科技有限公司</w:t>
      </w:r>
    </w:p>
    <w:p>
      <w:pPr>
        <w:spacing w:line="360" w:lineRule="auto"/>
        <w:ind w:firstLine="6000" w:firstLineChars="25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2022年7月15日</w:t>
      </w:r>
      <w:bookmarkStart w:id="0" w:name="_GoBack"/>
      <w:bookmarkEnd w:id="0"/>
    </w:p>
    <w:sectPr>
      <w:headerReference r:id="rId3" w:type="default"/>
      <w:footerReference r:id="rId4" w:type="default"/>
      <w:pgSz w:w="11906" w:h="16838"/>
      <w:pgMar w:top="1134" w:right="1531" w:bottom="1134" w:left="1553" w:header="170" w:footer="170"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Bold">
    <w:altName w:val="Times New Roman"/>
    <w:panose1 w:val="00000000000000000000"/>
    <w:charset w:val="00"/>
    <w:family w:val="roman"/>
    <w:pitch w:val="default"/>
    <w:sig w:usb0="00000000" w:usb1="00000000" w:usb2="00000000" w:usb3="00000000" w:csb0="00000000" w:csb1="00000000"/>
  </w:font>
  <w:font w:name="Arial Unicode MS">
    <w:altName w:val="宋体"/>
    <w:panose1 w:val="020B0604020202020204"/>
    <w:charset w:val="86"/>
    <w:family w:val="roman"/>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EE474F"/>
    <w:multiLevelType w:val="singleLevel"/>
    <w:tmpl w:val="5FEE474F"/>
    <w:lvl w:ilvl="0" w:tentative="0">
      <w:start w:val="1"/>
      <w:numFmt w:val="bullet"/>
      <w:pStyle w:val="9"/>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lZTY4NDFmZTJlNjY1MTlkYTlhMGE5NTA2OWVjNjEifQ=="/>
  </w:docVars>
  <w:rsids>
    <w:rsidRoot w:val="00121410"/>
    <w:rsid w:val="000001DD"/>
    <w:rsid w:val="000024F1"/>
    <w:rsid w:val="00004EB2"/>
    <w:rsid w:val="000068AC"/>
    <w:rsid w:val="0000779B"/>
    <w:rsid w:val="0001282C"/>
    <w:rsid w:val="00012DFC"/>
    <w:rsid w:val="0002178E"/>
    <w:rsid w:val="00022449"/>
    <w:rsid w:val="0002284E"/>
    <w:rsid w:val="00022CB4"/>
    <w:rsid w:val="00023F09"/>
    <w:rsid w:val="00025A83"/>
    <w:rsid w:val="000306FD"/>
    <w:rsid w:val="00031EF6"/>
    <w:rsid w:val="00032F0F"/>
    <w:rsid w:val="00037091"/>
    <w:rsid w:val="000402E3"/>
    <w:rsid w:val="0004207E"/>
    <w:rsid w:val="0004452D"/>
    <w:rsid w:val="00044634"/>
    <w:rsid w:val="00047914"/>
    <w:rsid w:val="00047DFE"/>
    <w:rsid w:val="0005379C"/>
    <w:rsid w:val="000552EF"/>
    <w:rsid w:val="0006068E"/>
    <w:rsid w:val="00062DC7"/>
    <w:rsid w:val="00064D97"/>
    <w:rsid w:val="00066823"/>
    <w:rsid w:val="0006722A"/>
    <w:rsid w:val="0007255E"/>
    <w:rsid w:val="00072FB8"/>
    <w:rsid w:val="000745EF"/>
    <w:rsid w:val="0007514E"/>
    <w:rsid w:val="00081F8B"/>
    <w:rsid w:val="0008283E"/>
    <w:rsid w:val="000864BF"/>
    <w:rsid w:val="000910A0"/>
    <w:rsid w:val="00092FF6"/>
    <w:rsid w:val="00093B88"/>
    <w:rsid w:val="00095980"/>
    <w:rsid w:val="00096189"/>
    <w:rsid w:val="00097C58"/>
    <w:rsid w:val="000A2632"/>
    <w:rsid w:val="000B0DB1"/>
    <w:rsid w:val="000B1D9A"/>
    <w:rsid w:val="000B1DBD"/>
    <w:rsid w:val="000B2E43"/>
    <w:rsid w:val="000B331B"/>
    <w:rsid w:val="000B3623"/>
    <w:rsid w:val="000C2992"/>
    <w:rsid w:val="000C3E65"/>
    <w:rsid w:val="000D451B"/>
    <w:rsid w:val="000D4941"/>
    <w:rsid w:val="000D6901"/>
    <w:rsid w:val="000E13B2"/>
    <w:rsid w:val="000E1956"/>
    <w:rsid w:val="000E7EEA"/>
    <w:rsid w:val="000F717F"/>
    <w:rsid w:val="001017CC"/>
    <w:rsid w:val="00102C71"/>
    <w:rsid w:val="0010323C"/>
    <w:rsid w:val="0010744F"/>
    <w:rsid w:val="00112A5E"/>
    <w:rsid w:val="001151D0"/>
    <w:rsid w:val="0011622F"/>
    <w:rsid w:val="00116297"/>
    <w:rsid w:val="00120193"/>
    <w:rsid w:val="00121410"/>
    <w:rsid w:val="00123571"/>
    <w:rsid w:val="00134CD1"/>
    <w:rsid w:val="001352EA"/>
    <w:rsid w:val="00140931"/>
    <w:rsid w:val="00140995"/>
    <w:rsid w:val="00144861"/>
    <w:rsid w:val="001476A8"/>
    <w:rsid w:val="0015231C"/>
    <w:rsid w:val="001534C6"/>
    <w:rsid w:val="00160573"/>
    <w:rsid w:val="001744C5"/>
    <w:rsid w:val="00180FE2"/>
    <w:rsid w:val="00181904"/>
    <w:rsid w:val="00182C7D"/>
    <w:rsid w:val="00184AF7"/>
    <w:rsid w:val="00185567"/>
    <w:rsid w:val="00186BCC"/>
    <w:rsid w:val="00186EE0"/>
    <w:rsid w:val="00191BDB"/>
    <w:rsid w:val="001A1317"/>
    <w:rsid w:val="001A210C"/>
    <w:rsid w:val="001A4600"/>
    <w:rsid w:val="001A490F"/>
    <w:rsid w:val="001A5BCE"/>
    <w:rsid w:val="001A7633"/>
    <w:rsid w:val="001C33C8"/>
    <w:rsid w:val="001C45D5"/>
    <w:rsid w:val="001C5346"/>
    <w:rsid w:val="001C7C9B"/>
    <w:rsid w:val="001D06A7"/>
    <w:rsid w:val="001D0DDF"/>
    <w:rsid w:val="001D151E"/>
    <w:rsid w:val="001E04B2"/>
    <w:rsid w:val="001E152E"/>
    <w:rsid w:val="001E2083"/>
    <w:rsid w:val="001E2520"/>
    <w:rsid w:val="002001FB"/>
    <w:rsid w:val="002002B0"/>
    <w:rsid w:val="00201BA6"/>
    <w:rsid w:val="00204FB9"/>
    <w:rsid w:val="00206B0F"/>
    <w:rsid w:val="00206ED9"/>
    <w:rsid w:val="00217B89"/>
    <w:rsid w:val="00220E28"/>
    <w:rsid w:val="002410F7"/>
    <w:rsid w:val="00243C40"/>
    <w:rsid w:val="00246152"/>
    <w:rsid w:val="0024701D"/>
    <w:rsid w:val="00250338"/>
    <w:rsid w:val="002530C4"/>
    <w:rsid w:val="002544B1"/>
    <w:rsid w:val="00263F2C"/>
    <w:rsid w:val="00264A9C"/>
    <w:rsid w:val="002650A9"/>
    <w:rsid w:val="0026691B"/>
    <w:rsid w:val="00267D73"/>
    <w:rsid w:val="00275E5A"/>
    <w:rsid w:val="00281EAE"/>
    <w:rsid w:val="00286300"/>
    <w:rsid w:val="00290CA2"/>
    <w:rsid w:val="002916FC"/>
    <w:rsid w:val="00292418"/>
    <w:rsid w:val="002935F5"/>
    <w:rsid w:val="002950C2"/>
    <w:rsid w:val="00295343"/>
    <w:rsid w:val="00295C35"/>
    <w:rsid w:val="00297035"/>
    <w:rsid w:val="002979EB"/>
    <w:rsid w:val="00297E2C"/>
    <w:rsid w:val="002A1EC0"/>
    <w:rsid w:val="002A245F"/>
    <w:rsid w:val="002A4041"/>
    <w:rsid w:val="002A564E"/>
    <w:rsid w:val="002A5B57"/>
    <w:rsid w:val="002B10EB"/>
    <w:rsid w:val="002B7427"/>
    <w:rsid w:val="002C2A9D"/>
    <w:rsid w:val="002D4135"/>
    <w:rsid w:val="002D7A61"/>
    <w:rsid w:val="002D7FE6"/>
    <w:rsid w:val="002E0087"/>
    <w:rsid w:val="002E113E"/>
    <w:rsid w:val="002E2A02"/>
    <w:rsid w:val="002E7789"/>
    <w:rsid w:val="002F4C72"/>
    <w:rsid w:val="00300E73"/>
    <w:rsid w:val="00300F93"/>
    <w:rsid w:val="003017C4"/>
    <w:rsid w:val="00302042"/>
    <w:rsid w:val="003056A9"/>
    <w:rsid w:val="003061AE"/>
    <w:rsid w:val="003062EB"/>
    <w:rsid w:val="00320F25"/>
    <w:rsid w:val="00321618"/>
    <w:rsid w:val="003242E8"/>
    <w:rsid w:val="003243FA"/>
    <w:rsid w:val="00324619"/>
    <w:rsid w:val="00330E89"/>
    <w:rsid w:val="0034612E"/>
    <w:rsid w:val="003475E4"/>
    <w:rsid w:val="00347ECD"/>
    <w:rsid w:val="00347F84"/>
    <w:rsid w:val="0035031B"/>
    <w:rsid w:val="0035041F"/>
    <w:rsid w:val="00352E65"/>
    <w:rsid w:val="00357CE3"/>
    <w:rsid w:val="003628B5"/>
    <w:rsid w:val="00363175"/>
    <w:rsid w:val="00363CE3"/>
    <w:rsid w:val="00365E6A"/>
    <w:rsid w:val="0036670F"/>
    <w:rsid w:val="0037327A"/>
    <w:rsid w:val="003759F3"/>
    <w:rsid w:val="00382C70"/>
    <w:rsid w:val="003836E4"/>
    <w:rsid w:val="00383CBD"/>
    <w:rsid w:val="00391A65"/>
    <w:rsid w:val="00393017"/>
    <w:rsid w:val="003969D9"/>
    <w:rsid w:val="003A0460"/>
    <w:rsid w:val="003A06DE"/>
    <w:rsid w:val="003A1032"/>
    <w:rsid w:val="003A30D6"/>
    <w:rsid w:val="003A73F4"/>
    <w:rsid w:val="003B2AA8"/>
    <w:rsid w:val="003B6CFD"/>
    <w:rsid w:val="003B6ED8"/>
    <w:rsid w:val="003C653C"/>
    <w:rsid w:val="003D0633"/>
    <w:rsid w:val="003D1E69"/>
    <w:rsid w:val="003D6213"/>
    <w:rsid w:val="003E205E"/>
    <w:rsid w:val="003F226F"/>
    <w:rsid w:val="003F2AF2"/>
    <w:rsid w:val="003F39BB"/>
    <w:rsid w:val="003F3C5D"/>
    <w:rsid w:val="003F630A"/>
    <w:rsid w:val="003F6ECC"/>
    <w:rsid w:val="003F6F4A"/>
    <w:rsid w:val="004011FB"/>
    <w:rsid w:val="004020B1"/>
    <w:rsid w:val="004021EC"/>
    <w:rsid w:val="00406FA7"/>
    <w:rsid w:val="004119C1"/>
    <w:rsid w:val="004167AF"/>
    <w:rsid w:val="00417171"/>
    <w:rsid w:val="00421DF5"/>
    <w:rsid w:val="004237BE"/>
    <w:rsid w:val="00431E5F"/>
    <w:rsid w:val="004349DB"/>
    <w:rsid w:val="00434DB1"/>
    <w:rsid w:val="00435C25"/>
    <w:rsid w:val="0043641D"/>
    <w:rsid w:val="004367E4"/>
    <w:rsid w:val="004369FD"/>
    <w:rsid w:val="00437904"/>
    <w:rsid w:val="0044411E"/>
    <w:rsid w:val="00444813"/>
    <w:rsid w:val="00451659"/>
    <w:rsid w:val="0045467E"/>
    <w:rsid w:val="004568F2"/>
    <w:rsid w:val="004617DD"/>
    <w:rsid w:val="004630E5"/>
    <w:rsid w:val="00463C17"/>
    <w:rsid w:val="00464D1F"/>
    <w:rsid w:val="00465C41"/>
    <w:rsid w:val="00466565"/>
    <w:rsid w:val="004708D9"/>
    <w:rsid w:val="00476777"/>
    <w:rsid w:val="0048088D"/>
    <w:rsid w:val="004851AC"/>
    <w:rsid w:val="004854C2"/>
    <w:rsid w:val="00494999"/>
    <w:rsid w:val="004A34F5"/>
    <w:rsid w:val="004A3529"/>
    <w:rsid w:val="004A38E2"/>
    <w:rsid w:val="004A4255"/>
    <w:rsid w:val="004A63EF"/>
    <w:rsid w:val="004B34FD"/>
    <w:rsid w:val="004B41C6"/>
    <w:rsid w:val="004C1512"/>
    <w:rsid w:val="004C6D52"/>
    <w:rsid w:val="004D0E55"/>
    <w:rsid w:val="004D1DCC"/>
    <w:rsid w:val="004D2E08"/>
    <w:rsid w:val="004D39DE"/>
    <w:rsid w:val="004D5078"/>
    <w:rsid w:val="004D7CE5"/>
    <w:rsid w:val="004E2D30"/>
    <w:rsid w:val="004E52C6"/>
    <w:rsid w:val="004E5EB2"/>
    <w:rsid w:val="004E75F4"/>
    <w:rsid w:val="004E762D"/>
    <w:rsid w:val="004F04BB"/>
    <w:rsid w:val="004F082E"/>
    <w:rsid w:val="004F0CC9"/>
    <w:rsid w:val="004F2933"/>
    <w:rsid w:val="004F5124"/>
    <w:rsid w:val="004F5992"/>
    <w:rsid w:val="004F78A8"/>
    <w:rsid w:val="00502684"/>
    <w:rsid w:val="0050269A"/>
    <w:rsid w:val="0050393D"/>
    <w:rsid w:val="005061CF"/>
    <w:rsid w:val="005064B7"/>
    <w:rsid w:val="00510A72"/>
    <w:rsid w:val="00512FA9"/>
    <w:rsid w:val="00514F2A"/>
    <w:rsid w:val="005302CF"/>
    <w:rsid w:val="00532CF3"/>
    <w:rsid w:val="00532F94"/>
    <w:rsid w:val="0053345E"/>
    <w:rsid w:val="00533A08"/>
    <w:rsid w:val="00534686"/>
    <w:rsid w:val="00535279"/>
    <w:rsid w:val="00536935"/>
    <w:rsid w:val="005377F2"/>
    <w:rsid w:val="0053787C"/>
    <w:rsid w:val="00541CF0"/>
    <w:rsid w:val="00543542"/>
    <w:rsid w:val="00547190"/>
    <w:rsid w:val="00552A8E"/>
    <w:rsid w:val="00557648"/>
    <w:rsid w:val="00564FC9"/>
    <w:rsid w:val="00565BED"/>
    <w:rsid w:val="00566CD4"/>
    <w:rsid w:val="00573C2A"/>
    <w:rsid w:val="005747D9"/>
    <w:rsid w:val="00575B89"/>
    <w:rsid w:val="0057681E"/>
    <w:rsid w:val="00581936"/>
    <w:rsid w:val="005900E1"/>
    <w:rsid w:val="005930B6"/>
    <w:rsid w:val="0059358B"/>
    <w:rsid w:val="00595201"/>
    <w:rsid w:val="005A0C7F"/>
    <w:rsid w:val="005A3107"/>
    <w:rsid w:val="005A5D6B"/>
    <w:rsid w:val="005B1BE1"/>
    <w:rsid w:val="005B6B0B"/>
    <w:rsid w:val="005B78ED"/>
    <w:rsid w:val="005C0834"/>
    <w:rsid w:val="005C55CD"/>
    <w:rsid w:val="005D2F85"/>
    <w:rsid w:val="005D7969"/>
    <w:rsid w:val="005D7B0A"/>
    <w:rsid w:val="005E4B39"/>
    <w:rsid w:val="005F3F47"/>
    <w:rsid w:val="005F40A2"/>
    <w:rsid w:val="006044E9"/>
    <w:rsid w:val="00604C0E"/>
    <w:rsid w:val="006145F5"/>
    <w:rsid w:val="00624F6F"/>
    <w:rsid w:val="00626182"/>
    <w:rsid w:val="00627312"/>
    <w:rsid w:val="00627A5F"/>
    <w:rsid w:val="00627F25"/>
    <w:rsid w:val="006346AE"/>
    <w:rsid w:val="00646B59"/>
    <w:rsid w:val="0065065E"/>
    <w:rsid w:val="00656F8B"/>
    <w:rsid w:val="00663163"/>
    <w:rsid w:val="00663225"/>
    <w:rsid w:val="00665DCB"/>
    <w:rsid w:val="006766C0"/>
    <w:rsid w:val="00676EBA"/>
    <w:rsid w:val="00680390"/>
    <w:rsid w:val="00680B20"/>
    <w:rsid w:val="0068536E"/>
    <w:rsid w:val="006905B2"/>
    <w:rsid w:val="00692848"/>
    <w:rsid w:val="00695007"/>
    <w:rsid w:val="00697E36"/>
    <w:rsid w:val="006A4135"/>
    <w:rsid w:val="006B41BB"/>
    <w:rsid w:val="006B4D2D"/>
    <w:rsid w:val="006C1557"/>
    <w:rsid w:val="006C2B2F"/>
    <w:rsid w:val="006C3183"/>
    <w:rsid w:val="006D2A49"/>
    <w:rsid w:val="006D2F75"/>
    <w:rsid w:val="006D604F"/>
    <w:rsid w:val="006F0D90"/>
    <w:rsid w:val="00702E9D"/>
    <w:rsid w:val="0070340B"/>
    <w:rsid w:val="00703982"/>
    <w:rsid w:val="007116BA"/>
    <w:rsid w:val="00712004"/>
    <w:rsid w:val="007121FE"/>
    <w:rsid w:val="007149DD"/>
    <w:rsid w:val="007221D7"/>
    <w:rsid w:val="00723B96"/>
    <w:rsid w:val="00723BA1"/>
    <w:rsid w:val="00732471"/>
    <w:rsid w:val="00737036"/>
    <w:rsid w:val="00741002"/>
    <w:rsid w:val="0074248A"/>
    <w:rsid w:val="00745032"/>
    <w:rsid w:val="00752555"/>
    <w:rsid w:val="00752CBD"/>
    <w:rsid w:val="00752E6C"/>
    <w:rsid w:val="007546F2"/>
    <w:rsid w:val="007567E7"/>
    <w:rsid w:val="00761D4C"/>
    <w:rsid w:val="007620E1"/>
    <w:rsid w:val="00763652"/>
    <w:rsid w:val="007706E8"/>
    <w:rsid w:val="00775FA5"/>
    <w:rsid w:val="0078476C"/>
    <w:rsid w:val="0079016F"/>
    <w:rsid w:val="00791A08"/>
    <w:rsid w:val="00792619"/>
    <w:rsid w:val="00796454"/>
    <w:rsid w:val="007A598B"/>
    <w:rsid w:val="007B7C80"/>
    <w:rsid w:val="007C5768"/>
    <w:rsid w:val="007C6EEF"/>
    <w:rsid w:val="007C7605"/>
    <w:rsid w:val="007C77F4"/>
    <w:rsid w:val="007D287F"/>
    <w:rsid w:val="007D559F"/>
    <w:rsid w:val="007E177A"/>
    <w:rsid w:val="007E21D0"/>
    <w:rsid w:val="007E2881"/>
    <w:rsid w:val="007E340C"/>
    <w:rsid w:val="007E6073"/>
    <w:rsid w:val="007F4EAA"/>
    <w:rsid w:val="007F5622"/>
    <w:rsid w:val="007F57DF"/>
    <w:rsid w:val="008013C0"/>
    <w:rsid w:val="00802BA6"/>
    <w:rsid w:val="00802DCE"/>
    <w:rsid w:val="00804168"/>
    <w:rsid w:val="008042FB"/>
    <w:rsid w:val="00805FBF"/>
    <w:rsid w:val="0080715F"/>
    <w:rsid w:val="008073C3"/>
    <w:rsid w:val="008108F7"/>
    <w:rsid w:val="00810CB2"/>
    <w:rsid w:val="008115D3"/>
    <w:rsid w:val="00814E3B"/>
    <w:rsid w:val="008175C0"/>
    <w:rsid w:val="008241A3"/>
    <w:rsid w:val="00825F82"/>
    <w:rsid w:val="008260EE"/>
    <w:rsid w:val="0082630A"/>
    <w:rsid w:val="00832123"/>
    <w:rsid w:val="0083425C"/>
    <w:rsid w:val="00834D77"/>
    <w:rsid w:val="0083590E"/>
    <w:rsid w:val="00840088"/>
    <w:rsid w:val="00844839"/>
    <w:rsid w:val="0085079B"/>
    <w:rsid w:val="00852A58"/>
    <w:rsid w:val="008551FE"/>
    <w:rsid w:val="00857C02"/>
    <w:rsid w:val="00862534"/>
    <w:rsid w:val="00865242"/>
    <w:rsid w:val="00880630"/>
    <w:rsid w:val="00882142"/>
    <w:rsid w:val="008856B1"/>
    <w:rsid w:val="00885DD7"/>
    <w:rsid w:val="0089052A"/>
    <w:rsid w:val="00893561"/>
    <w:rsid w:val="008B0196"/>
    <w:rsid w:val="008B08C3"/>
    <w:rsid w:val="008B28DD"/>
    <w:rsid w:val="008B489C"/>
    <w:rsid w:val="008B7C42"/>
    <w:rsid w:val="008C0349"/>
    <w:rsid w:val="008C3386"/>
    <w:rsid w:val="008C3AA3"/>
    <w:rsid w:val="008C3DA6"/>
    <w:rsid w:val="008C7E05"/>
    <w:rsid w:val="008C7F55"/>
    <w:rsid w:val="008D3B01"/>
    <w:rsid w:val="008E1531"/>
    <w:rsid w:val="008E1768"/>
    <w:rsid w:val="008E2B89"/>
    <w:rsid w:val="008E2EDB"/>
    <w:rsid w:val="008E628C"/>
    <w:rsid w:val="008E7DFC"/>
    <w:rsid w:val="00904E62"/>
    <w:rsid w:val="009052E9"/>
    <w:rsid w:val="00905A46"/>
    <w:rsid w:val="00906917"/>
    <w:rsid w:val="00907615"/>
    <w:rsid w:val="00910157"/>
    <w:rsid w:val="00911FD0"/>
    <w:rsid w:val="0091376A"/>
    <w:rsid w:val="0091396B"/>
    <w:rsid w:val="00914B80"/>
    <w:rsid w:val="00916A44"/>
    <w:rsid w:val="00917357"/>
    <w:rsid w:val="0092731C"/>
    <w:rsid w:val="00930EC2"/>
    <w:rsid w:val="0093562D"/>
    <w:rsid w:val="009429E1"/>
    <w:rsid w:val="00946C73"/>
    <w:rsid w:val="009475BF"/>
    <w:rsid w:val="00951392"/>
    <w:rsid w:val="0095154F"/>
    <w:rsid w:val="00953658"/>
    <w:rsid w:val="00956B70"/>
    <w:rsid w:val="00962F31"/>
    <w:rsid w:val="009648FF"/>
    <w:rsid w:val="009724DD"/>
    <w:rsid w:val="00973DDA"/>
    <w:rsid w:val="00975D35"/>
    <w:rsid w:val="00977135"/>
    <w:rsid w:val="00981B1D"/>
    <w:rsid w:val="0098692F"/>
    <w:rsid w:val="009907A7"/>
    <w:rsid w:val="00990D32"/>
    <w:rsid w:val="0099122F"/>
    <w:rsid w:val="0099410D"/>
    <w:rsid w:val="009948C4"/>
    <w:rsid w:val="00994AF9"/>
    <w:rsid w:val="00995A8C"/>
    <w:rsid w:val="009A14E6"/>
    <w:rsid w:val="009A239B"/>
    <w:rsid w:val="009A5483"/>
    <w:rsid w:val="009A60A9"/>
    <w:rsid w:val="009B60AD"/>
    <w:rsid w:val="009C1A97"/>
    <w:rsid w:val="009D0C7E"/>
    <w:rsid w:val="009D1216"/>
    <w:rsid w:val="009D275F"/>
    <w:rsid w:val="009D4689"/>
    <w:rsid w:val="009D6FC0"/>
    <w:rsid w:val="009E0883"/>
    <w:rsid w:val="009E3B42"/>
    <w:rsid w:val="009F19CC"/>
    <w:rsid w:val="009F21E8"/>
    <w:rsid w:val="009F2B1A"/>
    <w:rsid w:val="009F3A99"/>
    <w:rsid w:val="009F6375"/>
    <w:rsid w:val="009F66B5"/>
    <w:rsid w:val="00A05201"/>
    <w:rsid w:val="00A0585F"/>
    <w:rsid w:val="00A06A27"/>
    <w:rsid w:val="00A06CF8"/>
    <w:rsid w:val="00A1223C"/>
    <w:rsid w:val="00A40240"/>
    <w:rsid w:val="00A42B60"/>
    <w:rsid w:val="00A440AC"/>
    <w:rsid w:val="00A45412"/>
    <w:rsid w:val="00A5395C"/>
    <w:rsid w:val="00A54A63"/>
    <w:rsid w:val="00A55C74"/>
    <w:rsid w:val="00A6656D"/>
    <w:rsid w:val="00A66E56"/>
    <w:rsid w:val="00A6755E"/>
    <w:rsid w:val="00A675C8"/>
    <w:rsid w:val="00A70494"/>
    <w:rsid w:val="00A70D50"/>
    <w:rsid w:val="00A74F71"/>
    <w:rsid w:val="00A866D2"/>
    <w:rsid w:val="00A8786F"/>
    <w:rsid w:val="00A95530"/>
    <w:rsid w:val="00AA1C7B"/>
    <w:rsid w:val="00AA2C29"/>
    <w:rsid w:val="00AA38BE"/>
    <w:rsid w:val="00AA3CBF"/>
    <w:rsid w:val="00AA479D"/>
    <w:rsid w:val="00AA6AE4"/>
    <w:rsid w:val="00AB1CC0"/>
    <w:rsid w:val="00AB50E8"/>
    <w:rsid w:val="00AB7302"/>
    <w:rsid w:val="00AC02D2"/>
    <w:rsid w:val="00AC1AFB"/>
    <w:rsid w:val="00AC2F5F"/>
    <w:rsid w:val="00AC5E2C"/>
    <w:rsid w:val="00AC7871"/>
    <w:rsid w:val="00AD4880"/>
    <w:rsid w:val="00AD7F0F"/>
    <w:rsid w:val="00AE1B83"/>
    <w:rsid w:val="00AE399B"/>
    <w:rsid w:val="00AE4083"/>
    <w:rsid w:val="00AE6125"/>
    <w:rsid w:val="00AE674B"/>
    <w:rsid w:val="00AE6F18"/>
    <w:rsid w:val="00AF4BAF"/>
    <w:rsid w:val="00AF62D5"/>
    <w:rsid w:val="00AF7A4D"/>
    <w:rsid w:val="00B01083"/>
    <w:rsid w:val="00B017F8"/>
    <w:rsid w:val="00B041A5"/>
    <w:rsid w:val="00B06D47"/>
    <w:rsid w:val="00B114B1"/>
    <w:rsid w:val="00B12602"/>
    <w:rsid w:val="00B208E3"/>
    <w:rsid w:val="00B30099"/>
    <w:rsid w:val="00B32B3D"/>
    <w:rsid w:val="00B337FB"/>
    <w:rsid w:val="00B33A1C"/>
    <w:rsid w:val="00B346EE"/>
    <w:rsid w:val="00B34BD1"/>
    <w:rsid w:val="00B41B04"/>
    <w:rsid w:val="00B43D32"/>
    <w:rsid w:val="00B54ADB"/>
    <w:rsid w:val="00B62081"/>
    <w:rsid w:val="00B63B37"/>
    <w:rsid w:val="00B66ACB"/>
    <w:rsid w:val="00B759DC"/>
    <w:rsid w:val="00B82A08"/>
    <w:rsid w:val="00B85D75"/>
    <w:rsid w:val="00B92FEB"/>
    <w:rsid w:val="00B956A9"/>
    <w:rsid w:val="00B97779"/>
    <w:rsid w:val="00BA0251"/>
    <w:rsid w:val="00BA0654"/>
    <w:rsid w:val="00BA1B33"/>
    <w:rsid w:val="00BA1D71"/>
    <w:rsid w:val="00BA2D6B"/>
    <w:rsid w:val="00BA5B01"/>
    <w:rsid w:val="00BA6DB5"/>
    <w:rsid w:val="00BB20D9"/>
    <w:rsid w:val="00BC06BB"/>
    <w:rsid w:val="00BD254C"/>
    <w:rsid w:val="00BD54F3"/>
    <w:rsid w:val="00BD634D"/>
    <w:rsid w:val="00BE225F"/>
    <w:rsid w:val="00BE2D6A"/>
    <w:rsid w:val="00BE3ACE"/>
    <w:rsid w:val="00BE43D4"/>
    <w:rsid w:val="00BF10CA"/>
    <w:rsid w:val="00BF157D"/>
    <w:rsid w:val="00BF2A4A"/>
    <w:rsid w:val="00C0164C"/>
    <w:rsid w:val="00C05609"/>
    <w:rsid w:val="00C1267C"/>
    <w:rsid w:val="00C1412C"/>
    <w:rsid w:val="00C32312"/>
    <w:rsid w:val="00C32AEE"/>
    <w:rsid w:val="00C378E6"/>
    <w:rsid w:val="00C400B5"/>
    <w:rsid w:val="00C42676"/>
    <w:rsid w:val="00C44815"/>
    <w:rsid w:val="00C47F15"/>
    <w:rsid w:val="00C61562"/>
    <w:rsid w:val="00C67CA1"/>
    <w:rsid w:val="00C756F0"/>
    <w:rsid w:val="00C9061D"/>
    <w:rsid w:val="00C97C7A"/>
    <w:rsid w:val="00CA2A01"/>
    <w:rsid w:val="00CA3145"/>
    <w:rsid w:val="00CA6980"/>
    <w:rsid w:val="00CA7041"/>
    <w:rsid w:val="00CB2886"/>
    <w:rsid w:val="00CB50DC"/>
    <w:rsid w:val="00CB54D9"/>
    <w:rsid w:val="00CB7DC9"/>
    <w:rsid w:val="00CC2A77"/>
    <w:rsid w:val="00CC3375"/>
    <w:rsid w:val="00CC47EB"/>
    <w:rsid w:val="00CD0211"/>
    <w:rsid w:val="00CD052A"/>
    <w:rsid w:val="00CD2BCE"/>
    <w:rsid w:val="00CD6944"/>
    <w:rsid w:val="00CE0809"/>
    <w:rsid w:val="00CE256A"/>
    <w:rsid w:val="00CF5922"/>
    <w:rsid w:val="00CF60C2"/>
    <w:rsid w:val="00D0376C"/>
    <w:rsid w:val="00D03961"/>
    <w:rsid w:val="00D03E4D"/>
    <w:rsid w:val="00D06DB0"/>
    <w:rsid w:val="00D13502"/>
    <w:rsid w:val="00D1369C"/>
    <w:rsid w:val="00D14DE1"/>
    <w:rsid w:val="00D16233"/>
    <w:rsid w:val="00D17372"/>
    <w:rsid w:val="00D34535"/>
    <w:rsid w:val="00D368E9"/>
    <w:rsid w:val="00D45301"/>
    <w:rsid w:val="00D54424"/>
    <w:rsid w:val="00D609B3"/>
    <w:rsid w:val="00D61298"/>
    <w:rsid w:val="00D61478"/>
    <w:rsid w:val="00D637C8"/>
    <w:rsid w:val="00D71E0A"/>
    <w:rsid w:val="00D77FB0"/>
    <w:rsid w:val="00D8440F"/>
    <w:rsid w:val="00D84D57"/>
    <w:rsid w:val="00DA2DDC"/>
    <w:rsid w:val="00DA436A"/>
    <w:rsid w:val="00DB31D5"/>
    <w:rsid w:val="00DB31EA"/>
    <w:rsid w:val="00DB3C13"/>
    <w:rsid w:val="00DB4D74"/>
    <w:rsid w:val="00DC02C2"/>
    <w:rsid w:val="00DC27BA"/>
    <w:rsid w:val="00DC4AC5"/>
    <w:rsid w:val="00DC4E09"/>
    <w:rsid w:val="00DD0FF9"/>
    <w:rsid w:val="00DE62A9"/>
    <w:rsid w:val="00DF2B6F"/>
    <w:rsid w:val="00DF667E"/>
    <w:rsid w:val="00E00226"/>
    <w:rsid w:val="00E0150D"/>
    <w:rsid w:val="00E02D7D"/>
    <w:rsid w:val="00E04DB3"/>
    <w:rsid w:val="00E123E7"/>
    <w:rsid w:val="00E144A5"/>
    <w:rsid w:val="00E20D39"/>
    <w:rsid w:val="00E216A6"/>
    <w:rsid w:val="00E30607"/>
    <w:rsid w:val="00E316D5"/>
    <w:rsid w:val="00E317A4"/>
    <w:rsid w:val="00E371E8"/>
    <w:rsid w:val="00E44A97"/>
    <w:rsid w:val="00E46483"/>
    <w:rsid w:val="00E47A69"/>
    <w:rsid w:val="00E5179E"/>
    <w:rsid w:val="00E53ADA"/>
    <w:rsid w:val="00E5741F"/>
    <w:rsid w:val="00E63EDD"/>
    <w:rsid w:val="00E67164"/>
    <w:rsid w:val="00E67F23"/>
    <w:rsid w:val="00E7170C"/>
    <w:rsid w:val="00E71CA0"/>
    <w:rsid w:val="00E73A6A"/>
    <w:rsid w:val="00E7580F"/>
    <w:rsid w:val="00E82B19"/>
    <w:rsid w:val="00E83102"/>
    <w:rsid w:val="00E83EBE"/>
    <w:rsid w:val="00E902AB"/>
    <w:rsid w:val="00E908B2"/>
    <w:rsid w:val="00E93739"/>
    <w:rsid w:val="00E93FD9"/>
    <w:rsid w:val="00E97917"/>
    <w:rsid w:val="00E97A59"/>
    <w:rsid w:val="00EA2CB8"/>
    <w:rsid w:val="00EA3A4A"/>
    <w:rsid w:val="00EA4193"/>
    <w:rsid w:val="00EB2376"/>
    <w:rsid w:val="00EB2DC6"/>
    <w:rsid w:val="00EB64E5"/>
    <w:rsid w:val="00EB79E2"/>
    <w:rsid w:val="00EC1F3A"/>
    <w:rsid w:val="00EC2537"/>
    <w:rsid w:val="00EC6512"/>
    <w:rsid w:val="00ED0723"/>
    <w:rsid w:val="00ED67B1"/>
    <w:rsid w:val="00EE1EB9"/>
    <w:rsid w:val="00EE5287"/>
    <w:rsid w:val="00EE662C"/>
    <w:rsid w:val="00EF46BD"/>
    <w:rsid w:val="00EF7C52"/>
    <w:rsid w:val="00F20066"/>
    <w:rsid w:val="00F246C0"/>
    <w:rsid w:val="00F252A0"/>
    <w:rsid w:val="00F257C4"/>
    <w:rsid w:val="00F301BB"/>
    <w:rsid w:val="00F3209A"/>
    <w:rsid w:val="00F32112"/>
    <w:rsid w:val="00F338D6"/>
    <w:rsid w:val="00F34AED"/>
    <w:rsid w:val="00F36638"/>
    <w:rsid w:val="00F404AB"/>
    <w:rsid w:val="00F44438"/>
    <w:rsid w:val="00F44FE1"/>
    <w:rsid w:val="00F47540"/>
    <w:rsid w:val="00F51DF7"/>
    <w:rsid w:val="00F5323D"/>
    <w:rsid w:val="00F56BEA"/>
    <w:rsid w:val="00F56E64"/>
    <w:rsid w:val="00F61D89"/>
    <w:rsid w:val="00F7241F"/>
    <w:rsid w:val="00F8198A"/>
    <w:rsid w:val="00F86712"/>
    <w:rsid w:val="00F87CB9"/>
    <w:rsid w:val="00F904A4"/>
    <w:rsid w:val="00F91407"/>
    <w:rsid w:val="00F92864"/>
    <w:rsid w:val="00F92D1C"/>
    <w:rsid w:val="00F93469"/>
    <w:rsid w:val="00F946DB"/>
    <w:rsid w:val="00F9590D"/>
    <w:rsid w:val="00F96414"/>
    <w:rsid w:val="00FA0C06"/>
    <w:rsid w:val="00FA1360"/>
    <w:rsid w:val="00FA38BE"/>
    <w:rsid w:val="00FA6195"/>
    <w:rsid w:val="00FA6BD3"/>
    <w:rsid w:val="00FB2355"/>
    <w:rsid w:val="00FB2407"/>
    <w:rsid w:val="00FB2A1E"/>
    <w:rsid w:val="00FB448C"/>
    <w:rsid w:val="00FB4514"/>
    <w:rsid w:val="00FB56AB"/>
    <w:rsid w:val="00FB6F8F"/>
    <w:rsid w:val="00FC4E17"/>
    <w:rsid w:val="00FD2F2A"/>
    <w:rsid w:val="00FD5C01"/>
    <w:rsid w:val="00FE28C0"/>
    <w:rsid w:val="00FE2F89"/>
    <w:rsid w:val="00FF1BD4"/>
    <w:rsid w:val="00FF4EB1"/>
    <w:rsid w:val="00FF79FB"/>
    <w:rsid w:val="011C44BE"/>
    <w:rsid w:val="011D0B70"/>
    <w:rsid w:val="012E3B35"/>
    <w:rsid w:val="017B53DB"/>
    <w:rsid w:val="019B0BE2"/>
    <w:rsid w:val="01A467E0"/>
    <w:rsid w:val="0203609F"/>
    <w:rsid w:val="020F1D65"/>
    <w:rsid w:val="02431AD0"/>
    <w:rsid w:val="02D73E0A"/>
    <w:rsid w:val="02F67762"/>
    <w:rsid w:val="03330000"/>
    <w:rsid w:val="0439176B"/>
    <w:rsid w:val="045F15FE"/>
    <w:rsid w:val="046440A6"/>
    <w:rsid w:val="0476310A"/>
    <w:rsid w:val="049C5A45"/>
    <w:rsid w:val="04B9639D"/>
    <w:rsid w:val="04D06088"/>
    <w:rsid w:val="0572758C"/>
    <w:rsid w:val="05996BD8"/>
    <w:rsid w:val="05B25A58"/>
    <w:rsid w:val="05E3225F"/>
    <w:rsid w:val="05E511C3"/>
    <w:rsid w:val="067626CE"/>
    <w:rsid w:val="06935BD5"/>
    <w:rsid w:val="069B2606"/>
    <w:rsid w:val="06C30E3A"/>
    <w:rsid w:val="071A1350"/>
    <w:rsid w:val="077241B2"/>
    <w:rsid w:val="07AD40C1"/>
    <w:rsid w:val="081E5046"/>
    <w:rsid w:val="084007AA"/>
    <w:rsid w:val="0846742D"/>
    <w:rsid w:val="085B424F"/>
    <w:rsid w:val="087C343D"/>
    <w:rsid w:val="099B3C05"/>
    <w:rsid w:val="09A43564"/>
    <w:rsid w:val="09BF0726"/>
    <w:rsid w:val="0A173AC4"/>
    <w:rsid w:val="0A290BD1"/>
    <w:rsid w:val="0A696B78"/>
    <w:rsid w:val="0A774F1A"/>
    <w:rsid w:val="0A8F413D"/>
    <w:rsid w:val="0AD151EE"/>
    <w:rsid w:val="0B026343"/>
    <w:rsid w:val="0B095AB3"/>
    <w:rsid w:val="0B275D87"/>
    <w:rsid w:val="0B635F98"/>
    <w:rsid w:val="0B867B41"/>
    <w:rsid w:val="0C007BD3"/>
    <w:rsid w:val="0C2271CD"/>
    <w:rsid w:val="0C4C6E8F"/>
    <w:rsid w:val="0C77508F"/>
    <w:rsid w:val="0CD30126"/>
    <w:rsid w:val="0D2F2239"/>
    <w:rsid w:val="0D68041E"/>
    <w:rsid w:val="0DAC063C"/>
    <w:rsid w:val="0E5252BA"/>
    <w:rsid w:val="0E7B33D1"/>
    <w:rsid w:val="0F3272A7"/>
    <w:rsid w:val="0F565325"/>
    <w:rsid w:val="0F7614BE"/>
    <w:rsid w:val="0F8426E7"/>
    <w:rsid w:val="0FCF2E2E"/>
    <w:rsid w:val="10291746"/>
    <w:rsid w:val="102F1D66"/>
    <w:rsid w:val="10534807"/>
    <w:rsid w:val="106466A2"/>
    <w:rsid w:val="10AF324D"/>
    <w:rsid w:val="11365BDA"/>
    <w:rsid w:val="11666109"/>
    <w:rsid w:val="117836EB"/>
    <w:rsid w:val="119625F5"/>
    <w:rsid w:val="11A92DA3"/>
    <w:rsid w:val="11B70275"/>
    <w:rsid w:val="12C1041A"/>
    <w:rsid w:val="12D93B50"/>
    <w:rsid w:val="12F6703E"/>
    <w:rsid w:val="12FE0B76"/>
    <w:rsid w:val="131F58B3"/>
    <w:rsid w:val="13327FFA"/>
    <w:rsid w:val="13590782"/>
    <w:rsid w:val="13B912F3"/>
    <w:rsid w:val="145204CA"/>
    <w:rsid w:val="14726DDF"/>
    <w:rsid w:val="15237E2B"/>
    <w:rsid w:val="155B0FE3"/>
    <w:rsid w:val="158360EE"/>
    <w:rsid w:val="15945878"/>
    <w:rsid w:val="15B14DD7"/>
    <w:rsid w:val="15D21DE6"/>
    <w:rsid w:val="15FA1E22"/>
    <w:rsid w:val="16033976"/>
    <w:rsid w:val="16485DC8"/>
    <w:rsid w:val="16612C42"/>
    <w:rsid w:val="166B3F6E"/>
    <w:rsid w:val="167F0E06"/>
    <w:rsid w:val="16872F49"/>
    <w:rsid w:val="169F72E8"/>
    <w:rsid w:val="16C44F84"/>
    <w:rsid w:val="16D761FA"/>
    <w:rsid w:val="16E81C71"/>
    <w:rsid w:val="17A55FCD"/>
    <w:rsid w:val="17DF3C32"/>
    <w:rsid w:val="17E04CF6"/>
    <w:rsid w:val="17E662C2"/>
    <w:rsid w:val="1814076A"/>
    <w:rsid w:val="188F666D"/>
    <w:rsid w:val="18D07831"/>
    <w:rsid w:val="18DC2A61"/>
    <w:rsid w:val="19207783"/>
    <w:rsid w:val="19A0089A"/>
    <w:rsid w:val="1A683BA6"/>
    <w:rsid w:val="1A6956F3"/>
    <w:rsid w:val="1A6E2645"/>
    <w:rsid w:val="1A9A10D9"/>
    <w:rsid w:val="1ABB1E54"/>
    <w:rsid w:val="1AE00393"/>
    <w:rsid w:val="1AE6060D"/>
    <w:rsid w:val="1AF51BB0"/>
    <w:rsid w:val="1B5A7B1A"/>
    <w:rsid w:val="1B784E09"/>
    <w:rsid w:val="1B850CEF"/>
    <w:rsid w:val="1BBD091F"/>
    <w:rsid w:val="1BC065B8"/>
    <w:rsid w:val="1BD4759B"/>
    <w:rsid w:val="1BEC276B"/>
    <w:rsid w:val="1BF42D00"/>
    <w:rsid w:val="1BFD2C4B"/>
    <w:rsid w:val="1C2902B4"/>
    <w:rsid w:val="1C971D9C"/>
    <w:rsid w:val="1CBE061B"/>
    <w:rsid w:val="1DA310AB"/>
    <w:rsid w:val="1E00517B"/>
    <w:rsid w:val="1E061374"/>
    <w:rsid w:val="1E1C072A"/>
    <w:rsid w:val="1E2F362A"/>
    <w:rsid w:val="1E4A1C4B"/>
    <w:rsid w:val="1E4E3CDF"/>
    <w:rsid w:val="1E520009"/>
    <w:rsid w:val="1E5679F4"/>
    <w:rsid w:val="1E892D3B"/>
    <w:rsid w:val="1E8A53B8"/>
    <w:rsid w:val="1ED17C21"/>
    <w:rsid w:val="1EE36940"/>
    <w:rsid w:val="1F213EB7"/>
    <w:rsid w:val="1F294850"/>
    <w:rsid w:val="1F641E6B"/>
    <w:rsid w:val="1F737864"/>
    <w:rsid w:val="1FD47E99"/>
    <w:rsid w:val="20AC32C5"/>
    <w:rsid w:val="20AF2878"/>
    <w:rsid w:val="21847046"/>
    <w:rsid w:val="218F6983"/>
    <w:rsid w:val="219D1E67"/>
    <w:rsid w:val="21B71E55"/>
    <w:rsid w:val="21E46330"/>
    <w:rsid w:val="21FA408C"/>
    <w:rsid w:val="220C5985"/>
    <w:rsid w:val="22A973EF"/>
    <w:rsid w:val="22EE581A"/>
    <w:rsid w:val="234B0329"/>
    <w:rsid w:val="2392332F"/>
    <w:rsid w:val="24354EA8"/>
    <w:rsid w:val="244E72C3"/>
    <w:rsid w:val="24554394"/>
    <w:rsid w:val="2461586C"/>
    <w:rsid w:val="25416352"/>
    <w:rsid w:val="25706A02"/>
    <w:rsid w:val="25953F3F"/>
    <w:rsid w:val="25B46A01"/>
    <w:rsid w:val="25C41BF8"/>
    <w:rsid w:val="25D00BB4"/>
    <w:rsid w:val="26100564"/>
    <w:rsid w:val="2631069D"/>
    <w:rsid w:val="263D097F"/>
    <w:rsid w:val="263F0EBC"/>
    <w:rsid w:val="265D45DA"/>
    <w:rsid w:val="268332C2"/>
    <w:rsid w:val="26F46A9C"/>
    <w:rsid w:val="271E3F3E"/>
    <w:rsid w:val="27213670"/>
    <w:rsid w:val="27353652"/>
    <w:rsid w:val="273762C4"/>
    <w:rsid w:val="273B3E14"/>
    <w:rsid w:val="28631693"/>
    <w:rsid w:val="28B3127B"/>
    <w:rsid w:val="28D94CCA"/>
    <w:rsid w:val="28DF584D"/>
    <w:rsid w:val="2928401E"/>
    <w:rsid w:val="295E09B8"/>
    <w:rsid w:val="29DC3C40"/>
    <w:rsid w:val="29FF7D25"/>
    <w:rsid w:val="2A570CA1"/>
    <w:rsid w:val="2A5E2791"/>
    <w:rsid w:val="2A850358"/>
    <w:rsid w:val="2A8D6A01"/>
    <w:rsid w:val="2AE130DB"/>
    <w:rsid w:val="2B2423B8"/>
    <w:rsid w:val="2B2B16FD"/>
    <w:rsid w:val="2B383FCB"/>
    <w:rsid w:val="2B5C31B8"/>
    <w:rsid w:val="2B911481"/>
    <w:rsid w:val="2BB50824"/>
    <w:rsid w:val="2BFA4763"/>
    <w:rsid w:val="2C014000"/>
    <w:rsid w:val="2C06710C"/>
    <w:rsid w:val="2C1752FD"/>
    <w:rsid w:val="2C5A5D16"/>
    <w:rsid w:val="2C726346"/>
    <w:rsid w:val="2C841811"/>
    <w:rsid w:val="2CE72051"/>
    <w:rsid w:val="2D0125BB"/>
    <w:rsid w:val="2D0C681A"/>
    <w:rsid w:val="2D1C121E"/>
    <w:rsid w:val="2D485B6F"/>
    <w:rsid w:val="2D6D1931"/>
    <w:rsid w:val="2D9A6F0C"/>
    <w:rsid w:val="2D9C78EA"/>
    <w:rsid w:val="2DAE1E24"/>
    <w:rsid w:val="2DED4076"/>
    <w:rsid w:val="2DFF05DE"/>
    <w:rsid w:val="2E9F673A"/>
    <w:rsid w:val="2EDC7ED1"/>
    <w:rsid w:val="2F3C42F9"/>
    <w:rsid w:val="2F520BF8"/>
    <w:rsid w:val="2F6A684D"/>
    <w:rsid w:val="2FFE1A3A"/>
    <w:rsid w:val="306D0743"/>
    <w:rsid w:val="30874A86"/>
    <w:rsid w:val="30CA0FDA"/>
    <w:rsid w:val="30EB7DF5"/>
    <w:rsid w:val="30FF0F39"/>
    <w:rsid w:val="32056009"/>
    <w:rsid w:val="32096212"/>
    <w:rsid w:val="321D5D5B"/>
    <w:rsid w:val="323C0A2C"/>
    <w:rsid w:val="32963FF8"/>
    <w:rsid w:val="32A63532"/>
    <w:rsid w:val="33094D3D"/>
    <w:rsid w:val="33514A13"/>
    <w:rsid w:val="33575AD7"/>
    <w:rsid w:val="339B7340"/>
    <w:rsid w:val="33A57C85"/>
    <w:rsid w:val="33AF6DFD"/>
    <w:rsid w:val="34677953"/>
    <w:rsid w:val="347273F2"/>
    <w:rsid w:val="34804DB5"/>
    <w:rsid w:val="34EA195E"/>
    <w:rsid w:val="350B1CD4"/>
    <w:rsid w:val="358C7BFD"/>
    <w:rsid w:val="35942299"/>
    <w:rsid w:val="359551BB"/>
    <w:rsid w:val="35B508FE"/>
    <w:rsid w:val="35DE0EA9"/>
    <w:rsid w:val="361D68F4"/>
    <w:rsid w:val="363A6026"/>
    <w:rsid w:val="36973B4A"/>
    <w:rsid w:val="36B64F8F"/>
    <w:rsid w:val="37075CDD"/>
    <w:rsid w:val="37226F31"/>
    <w:rsid w:val="372A4DFE"/>
    <w:rsid w:val="372F3ED6"/>
    <w:rsid w:val="375673C3"/>
    <w:rsid w:val="379B70E7"/>
    <w:rsid w:val="37E82177"/>
    <w:rsid w:val="383453DB"/>
    <w:rsid w:val="384C3372"/>
    <w:rsid w:val="38561AB7"/>
    <w:rsid w:val="388428FE"/>
    <w:rsid w:val="38C178F3"/>
    <w:rsid w:val="38CA260C"/>
    <w:rsid w:val="38E738BD"/>
    <w:rsid w:val="39386CE1"/>
    <w:rsid w:val="39D91669"/>
    <w:rsid w:val="3A194CB4"/>
    <w:rsid w:val="3A1F714C"/>
    <w:rsid w:val="3A500759"/>
    <w:rsid w:val="3A5925DA"/>
    <w:rsid w:val="3A757D82"/>
    <w:rsid w:val="3B84690C"/>
    <w:rsid w:val="3B98215C"/>
    <w:rsid w:val="3BAB1254"/>
    <w:rsid w:val="3BC24F59"/>
    <w:rsid w:val="3C0507AB"/>
    <w:rsid w:val="3C0A347C"/>
    <w:rsid w:val="3C9648ED"/>
    <w:rsid w:val="3C9B3928"/>
    <w:rsid w:val="3CC835E0"/>
    <w:rsid w:val="3CEB15A3"/>
    <w:rsid w:val="3D48192E"/>
    <w:rsid w:val="3D78013D"/>
    <w:rsid w:val="3DCD1E19"/>
    <w:rsid w:val="3E001C69"/>
    <w:rsid w:val="3E00793B"/>
    <w:rsid w:val="3E8965BA"/>
    <w:rsid w:val="3E9B2D7D"/>
    <w:rsid w:val="3EF26282"/>
    <w:rsid w:val="3EFA4576"/>
    <w:rsid w:val="3F055FB6"/>
    <w:rsid w:val="3F586087"/>
    <w:rsid w:val="3FA32074"/>
    <w:rsid w:val="3FA8141D"/>
    <w:rsid w:val="3FC106A0"/>
    <w:rsid w:val="400414FD"/>
    <w:rsid w:val="40144191"/>
    <w:rsid w:val="406A6E4B"/>
    <w:rsid w:val="40935723"/>
    <w:rsid w:val="409635BB"/>
    <w:rsid w:val="409D6875"/>
    <w:rsid w:val="40CF7317"/>
    <w:rsid w:val="40D17F67"/>
    <w:rsid w:val="40E23028"/>
    <w:rsid w:val="40EE0DB1"/>
    <w:rsid w:val="411F2CC7"/>
    <w:rsid w:val="41572E26"/>
    <w:rsid w:val="416572B0"/>
    <w:rsid w:val="41895DD6"/>
    <w:rsid w:val="422B3B7D"/>
    <w:rsid w:val="42543F5D"/>
    <w:rsid w:val="43474CC2"/>
    <w:rsid w:val="437961D2"/>
    <w:rsid w:val="437D358A"/>
    <w:rsid w:val="43CD78A3"/>
    <w:rsid w:val="43DC528E"/>
    <w:rsid w:val="44246EDE"/>
    <w:rsid w:val="44343884"/>
    <w:rsid w:val="447B0F3B"/>
    <w:rsid w:val="44A55B99"/>
    <w:rsid w:val="44F06AA2"/>
    <w:rsid w:val="45044E9D"/>
    <w:rsid w:val="4562162A"/>
    <w:rsid w:val="462F1393"/>
    <w:rsid w:val="46BE580E"/>
    <w:rsid w:val="46C16C66"/>
    <w:rsid w:val="46D31C17"/>
    <w:rsid w:val="4710325F"/>
    <w:rsid w:val="47596E9F"/>
    <w:rsid w:val="4783216D"/>
    <w:rsid w:val="479E5A75"/>
    <w:rsid w:val="47B83A22"/>
    <w:rsid w:val="47C97469"/>
    <w:rsid w:val="47E2351F"/>
    <w:rsid w:val="47E95CD9"/>
    <w:rsid w:val="485B3938"/>
    <w:rsid w:val="487F06B1"/>
    <w:rsid w:val="48A405ED"/>
    <w:rsid w:val="48DA0E2D"/>
    <w:rsid w:val="4920462A"/>
    <w:rsid w:val="49647112"/>
    <w:rsid w:val="49A52600"/>
    <w:rsid w:val="49D010B8"/>
    <w:rsid w:val="49E90470"/>
    <w:rsid w:val="4A5D6DC2"/>
    <w:rsid w:val="4A746928"/>
    <w:rsid w:val="4A7759FE"/>
    <w:rsid w:val="4A9D52F4"/>
    <w:rsid w:val="4B1F4221"/>
    <w:rsid w:val="4B460698"/>
    <w:rsid w:val="4B695BC6"/>
    <w:rsid w:val="4B9925FB"/>
    <w:rsid w:val="4BB674AE"/>
    <w:rsid w:val="4BF453E8"/>
    <w:rsid w:val="4C3700F8"/>
    <w:rsid w:val="4C4974E8"/>
    <w:rsid w:val="4C4A5EB6"/>
    <w:rsid w:val="4CBD795A"/>
    <w:rsid w:val="4D212A82"/>
    <w:rsid w:val="4D4549C2"/>
    <w:rsid w:val="4D5069F9"/>
    <w:rsid w:val="4D706115"/>
    <w:rsid w:val="4D812F43"/>
    <w:rsid w:val="4E2F2707"/>
    <w:rsid w:val="4E5A7196"/>
    <w:rsid w:val="4E8700F6"/>
    <w:rsid w:val="4EBF3BCA"/>
    <w:rsid w:val="4F3F7402"/>
    <w:rsid w:val="4F71639A"/>
    <w:rsid w:val="4FAC11EC"/>
    <w:rsid w:val="5004664E"/>
    <w:rsid w:val="502036D9"/>
    <w:rsid w:val="508647EA"/>
    <w:rsid w:val="509E2D60"/>
    <w:rsid w:val="50B66804"/>
    <w:rsid w:val="50B85303"/>
    <w:rsid w:val="50BD0EFF"/>
    <w:rsid w:val="51112050"/>
    <w:rsid w:val="514B001F"/>
    <w:rsid w:val="51537825"/>
    <w:rsid w:val="51CE35EE"/>
    <w:rsid w:val="5218045F"/>
    <w:rsid w:val="52374280"/>
    <w:rsid w:val="524D3889"/>
    <w:rsid w:val="52DE28A7"/>
    <w:rsid w:val="531E44AB"/>
    <w:rsid w:val="53830256"/>
    <w:rsid w:val="53BF1D14"/>
    <w:rsid w:val="53F04DAB"/>
    <w:rsid w:val="541D0D6C"/>
    <w:rsid w:val="547C0398"/>
    <w:rsid w:val="54B61455"/>
    <w:rsid w:val="55123247"/>
    <w:rsid w:val="552F0A98"/>
    <w:rsid w:val="55C776C9"/>
    <w:rsid w:val="5629063B"/>
    <w:rsid w:val="56294B37"/>
    <w:rsid w:val="56755393"/>
    <w:rsid w:val="56872E63"/>
    <w:rsid w:val="56940988"/>
    <w:rsid w:val="56AA3AC4"/>
    <w:rsid w:val="56AE0674"/>
    <w:rsid w:val="56C86102"/>
    <w:rsid w:val="56FE6DDC"/>
    <w:rsid w:val="57805132"/>
    <w:rsid w:val="5787263B"/>
    <w:rsid w:val="57C055FF"/>
    <w:rsid w:val="57CC1908"/>
    <w:rsid w:val="57E96CAF"/>
    <w:rsid w:val="58230D8B"/>
    <w:rsid w:val="583805B4"/>
    <w:rsid w:val="58AD1418"/>
    <w:rsid w:val="595049A6"/>
    <w:rsid w:val="59603786"/>
    <w:rsid w:val="596632D4"/>
    <w:rsid w:val="59847A26"/>
    <w:rsid w:val="59B45FA5"/>
    <w:rsid w:val="59E80AD8"/>
    <w:rsid w:val="5A55534E"/>
    <w:rsid w:val="5ACE37D6"/>
    <w:rsid w:val="5AD020E0"/>
    <w:rsid w:val="5B167244"/>
    <w:rsid w:val="5B2B1929"/>
    <w:rsid w:val="5B591A81"/>
    <w:rsid w:val="5B827576"/>
    <w:rsid w:val="5B8776D2"/>
    <w:rsid w:val="5C052271"/>
    <w:rsid w:val="5CBE4FF1"/>
    <w:rsid w:val="5CC447A0"/>
    <w:rsid w:val="5CDC39ED"/>
    <w:rsid w:val="5CEC0FD7"/>
    <w:rsid w:val="5D593675"/>
    <w:rsid w:val="5E4B533E"/>
    <w:rsid w:val="5E5058F7"/>
    <w:rsid w:val="5E5530F9"/>
    <w:rsid w:val="5E6D30CF"/>
    <w:rsid w:val="5E7E6677"/>
    <w:rsid w:val="5EAB293F"/>
    <w:rsid w:val="5ECF0218"/>
    <w:rsid w:val="5F3055CC"/>
    <w:rsid w:val="5F7D3434"/>
    <w:rsid w:val="5F8C25BD"/>
    <w:rsid w:val="5F977E3F"/>
    <w:rsid w:val="5FFE486B"/>
    <w:rsid w:val="6099501A"/>
    <w:rsid w:val="60C711C8"/>
    <w:rsid w:val="610B12C0"/>
    <w:rsid w:val="611A1D52"/>
    <w:rsid w:val="619B2F7A"/>
    <w:rsid w:val="622A052D"/>
    <w:rsid w:val="622A5849"/>
    <w:rsid w:val="623309C0"/>
    <w:rsid w:val="6294611F"/>
    <w:rsid w:val="632632AA"/>
    <w:rsid w:val="634917E4"/>
    <w:rsid w:val="63747634"/>
    <w:rsid w:val="63AC650D"/>
    <w:rsid w:val="64ED15AB"/>
    <w:rsid w:val="6530377D"/>
    <w:rsid w:val="65506CA4"/>
    <w:rsid w:val="65CC50B2"/>
    <w:rsid w:val="65D5356E"/>
    <w:rsid w:val="660A5ADC"/>
    <w:rsid w:val="66690459"/>
    <w:rsid w:val="6673777F"/>
    <w:rsid w:val="66A21E86"/>
    <w:rsid w:val="66D72DED"/>
    <w:rsid w:val="672F6E55"/>
    <w:rsid w:val="679820F7"/>
    <w:rsid w:val="67A07CA1"/>
    <w:rsid w:val="6820174B"/>
    <w:rsid w:val="684E7AEF"/>
    <w:rsid w:val="686F2125"/>
    <w:rsid w:val="68936AD8"/>
    <w:rsid w:val="68C52B77"/>
    <w:rsid w:val="68F60033"/>
    <w:rsid w:val="693F19BC"/>
    <w:rsid w:val="69751B1E"/>
    <w:rsid w:val="69BB5A45"/>
    <w:rsid w:val="69DD69F0"/>
    <w:rsid w:val="6B646F2A"/>
    <w:rsid w:val="6BEE2F8F"/>
    <w:rsid w:val="6C13125E"/>
    <w:rsid w:val="6C5A19E1"/>
    <w:rsid w:val="6C795DC7"/>
    <w:rsid w:val="6CCD54BA"/>
    <w:rsid w:val="6DB602F7"/>
    <w:rsid w:val="6DBC4E5D"/>
    <w:rsid w:val="6DDC76D9"/>
    <w:rsid w:val="6DE61B5F"/>
    <w:rsid w:val="6DF71E45"/>
    <w:rsid w:val="6E4632BF"/>
    <w:rsid w:val="6E5D41A3"/>
    <w:rsid w:val="6EB23366"/>
    <w:rsid w:val="6EBA1075"/>
    <w:rsid w:val="6EEF46DD"/>
    <w:rsid w:val="6EF27809"/>
    <w:rsid w:val="6F0E34BB"/>
    <w:rsid w:val="6FB56CD9"/>
    <w:rsid w:val="70302B91"/>
    <w:rsid w:val="70527A37"/>
    <w:rsid w:val="70833ABD"/>
    <w:rsid w:val="709C279D"/>
    <w:rsid w:val="70B91461"/>
    <w:rsid w:val="70C51EF5"/>
    <w:rsid w:val="70D764DE"/>
    <w:rsid w:val="710122FB"/>
    <w:rsid w:val="710C7C25"/>
    <w:rsid w:val="712F402F"/>
    <w:rsid w:val="72610EDC"/>
    <w:rsid w:val="72A910F1"/>
    <w:rsid w:val="72C370F5"/>
    <w:rsid w:val="72D918E0"/>
    <w:rsid w:val="72DA2A9D"/>
    <w:rsid w:val="73744343"/>
    <w:rsid w:val="73BB078C"/>
    <w:rsid w:val="740175D0"/>
    <w:rsid w:val="74402D60"/>
    <w:rsid w:val="74467AF0"/>
    <w:rsid w:val="745860F7"/>
    <w:rsid w:val="74937C69"/>
    <w:rsid w:val="74A51A04"/>
    <w:rsid w:val="74CC1FDB"/>
    <w:rsid w:val="75292A7D"/>
    <w:rsid w:val="753D7746"/>
    <w:rsid w:val="75692D7C"/>
    <w:rsid w:val="75C33385"/>
    <w:rsid w:val="75EC5DDD"/>
    <w:rsid w:val="764B2D56"/>
    <w:rsid w:val="76ED471F"/>
    <w:rsid w:val="77780A13"/>
    <w:rsid w:val="77D22606"/>
    <w:rsid w:val="77F46F52"/>
    <w:rsid w:val="78197699"/>
    <w:rsid w:val="784D3336"/>
    <w:rsid w:val="78A4433D"/>
    <w:rsid w:val="791072E7"/>
    <w:rsid w:val="79382508"/>
    <w:rsid w:val="79414688"/>
    <w:rsid w:val="79A16FC0"/>
    <w:rsid w:val="79BC7936"/>
    <w:rsid w:val="79F432AF"/>
    <w:rsid w:val="79FE0F4B"/>
    <w:rsid w:val="7A256132"/>
    <w:rsid w:val="7A6330D6"/>
    <w:rsid w:val="7A937C05"/>
    <w:rsid w:val="7AB77524"/>
    <w:rsid w:val="7B5A7249"/>
    <w:rsid w:val="7B8E7FD9"/>
    <w:rsid w:val="7BC01A21"/>
    <w:rsid w:val="7BC65EEE"/>
    <w:rsid w:val="7BD643DD"/>
    <w:rsid w:val="7BDD51C7"/>
    <w:rsid w:val="7C600503"/>
    <w:rsid w:val="7C6D1733"/>
    <w:rsid w:val="7C8E5850"/>
    <w:rsid w:val="7CCC1725"/>
    <w:rsid w:val="7D0E0272"/>
    <w:rsid w:val="7D6A39AA"/>
    <w:rsid w:val="7D906618"/>
    <w:rsid w:val="7D9A7CC9"/>
    <w:rsid w:val="7DA86DB5"/>
    <w:rsid w:val="7DA872CE"/>
    <w:rsid w:val="7DAE22F2"/>
    <w:rsid w:val="7E2E2074"/>
    <w:rsid w:val="7E386B07"/>
    <w:rsid w:val="7ED76689"/>
    <w:rsid w:val="7EF94E77"/>
    <w:rsid w:val="7F3B49E7"/>
    <w:rsid w:val="7F406058"/>
    <w:rsid w:val="7F902C76"/>
    <w:rsid w:val="7FDD0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1"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iPriority="99" w:semiHidden="0" w:name="Normal Indent"/>
    <w:lsdException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qFormat="1"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99"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38"/>
    <w:qFormat/>
    <w:uiPriority w:val="0"/>
    <w:pPr>
      <w:keepNext/>
      <w:spacing w:line="360" w:lineRule="exact"/>
      <w:jc w:val="center"/>
      <w:outlineLvl w:val="0"/>
    </w:pPr>
    <w:rPr>
      <w:rFonts w:ascii="仿宋_GB2312" w:hAnsi="Times New Roman" w:eastAsia="仿宋_GB2312" w:cs="Times New Roman"/>
      <w:sz w:val="28"/>
    </w:rPr>
  </w:style>
  <w:style w:type="paragraph" w:styleId="4">
    <w:name w:val="heading 2"/>
    <w:basedOn w:val="1"/>
    <w:next w:val="1"/>
    <w:link w:val="64"/>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2">
    <w:name w:val="heading 3"/>
    <w:basedOn w:val="1"/>
    <w:next w:val="1"/>
    <w:qFormat/>
    <w:uiPriority w:val="1"/>
    <w:pPr>
      <w:ind w:left="369" w:hanging="369"/>
      <w:outlineLvl w:val="2"/>
    </w:pPr>
    <w:rPr>
      <w:rFonts w:ascii="仿宋" w:hAnsi="仿宋" w:eastAsia="仿宋" w:cs="宋体"/>
      <w:b/>
      <w:bCs/>
      <w:sz w:val="28"/>
      <w:szCs w:val="21"/>
      <w:lang w:val="zh-CN" w:bidi="zh-CN"/>
    </w:rPr>
  </w:style>
  <w:style w:type="paragraph" w:styleId="5">
    <w:name w:val="heading 4"/>
    <w:basedOn w:val="1"/>
    <w:next w:val="1"/>
    <w:link w:val="39"/>
    <w:qFormat/>
    <w:uiPriority w:val="0"/>
    <w:pPr>
      <w:keepNext/>
      <w:keepLines/>
      <w:spacing w:before="280" w:after="290" w:line="376" w:lineRule="auto"/>
      <w:outlineLvl w:val="3"/>
    </w:pPr>
    <w:rPr>
      <w:rFonts w:ascii="Cambria" w:hAnsi="Cambria" w:eastAsia="宋体" w:cs="Times New Roman"/>
      <w:b/>
      <w:bCs/>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6">
    <w:name w:val="Normal Indent"/>
    <w:basedOn w:val="1"/>
    <w:unhideWhenUsed/>
    <w:qFormat/>
    <w:uiPriority w:val="99"/>
    <w:pPr>
      <w:ind w:firstLine="200" w:firstLineChars="200"/>
    </w:pPr>
    <w:rPr>
      <w:rFonts w:ascii="Times New Roman" w:hAnsi="Times New Roman" w:eastAsia="宋体" w:cs="Times New Roman"/>
      <w:sz w:val="28"/>
      <w:szCs w:val="28"/>
    </w:rPr>
  </w:style>
  <w:style w:type="paragraph" w:styleId="7">
    <w:name w:val="annotation text"/>
    <w:basedOn w:val="1"/>
    <w:link w:val="35"/>
    <w:unhideWhenUsed/>
    <w:qFormat/>
    <w:uiPriority w:val="99"/>
    <w:pPr>
      <w:adjustRightInd w:val="0"/>
      <w:spacing w:line="312" w:lineRule="atLeast"/>
      <w:jc w:val="left"/>
      <w:textAlignment w:val="baseline"/>
    </w:pPr>
    <w:rPr>
      <w:rFonts w:ascii="Calibri" w:hAnsi="Calibri" w:eastAsia="宋体" w:cs="Times New Roman"/>
      <w:kern w:val="0"/>
      <w:szCs w:val="21"/>
    </w:rPr>
  </w:style>
  <w:style w:type="paragraph" w:styleId="8">
    <w:name w:val="Body Text"/>
    <w:basedOn w:val="1"/>
    <w:next w:val="9"/>
    <w:unhideWhenUsed/>
    <w:qFormat/>
    <w:uiPriority w:val="99"/>
    <w:rPr>
      <w:rFonts w:ascii="Times New Roman" w:hAnsi="Times New Roman" w:eastAsia="宋体"/>
      <w:sz w:val="28"/>
    </w:rPr>
  </w:style>
  <w:style w:type="paragraph" w:styleId="9">
    <w:name w:val="List Bullet 5"/>
    <w:basedOn w:val="1"/>
    <w:semiHidden/>
    <w:unhideWhenUsed/>
    <w:qFormat/>
    <w:uiPriority w:val="0"/>
    <w:pPr>
      <w:numPr>
        <w:ilvl w:val="0"/>
        <w:numId w:val="1"/>
      </w:numPr>
    </w:pPr>
  </w:style>
  <w:style w:type="paragraph" w:styleId="10">
    <w:name w:val="Body Text Indent"/>
    <w:basedOn w:val="1"/>
    <w:link w:val="41"/>
    <w:unhideWhenUsed/>
    <w:qFormat/>
    <w:uiPriority w:val="99"/>
    <w:pPr>
      <w:spacing w:after="120"/>
      <w:ind w:left="420" w:leftChars="200"/>
    </w:pPr>
    <w:rPr>
      <w:rFonts w:ascii="Times New Roman" w:hAnsi="Times New Roman" w:eastAsia="宋体" w:cs="Times New Roman"/>
      <w:szCs w:val="20"/>
    </w:rPr>
  </w:style>
  <w:style w:type="paragraph" w:styleId="11">
    <w:name w:val="toc 3"/>
    <w:basedOn w:val="1"/>
    <w:next w:val="1"/>
    <w:unhideWhenUsed/>
    <w:qFormat/>
    <w:uiPriority w:val="39"/>
    <w:pPr>
      <w:widowControl/>
      <w:spacing w:after="100" w:line="276" w:lineRule="auto"/>
      <w:ind w:left="440"/>
      <w:jc w:val="left"/>
    </w:pPr>
    <w:rPr>
      <w:kern w:val="0"/>
      <w:sz w:val="22"/>
      <w:szCs w:val="22"/>
    </w:rPr>
  </w:style>
  <w:style w:type="paragraph" w:styleId="12">
    <w:name w:val="Plain Text"/>
    <w:basedOn w:val="1"/>
    <w:link w:val="42"/>
    <w:qFormat/>
    <w:uiPriority w:val="0"/>
    <w:rPr>
      <w:rFonts w:ascii="宋体" w:hAnsi="Courier New" w:eastAsia="宋体"/>
      <w:szCs w:val="22"/>
    </w:rPr>
  </w:style>
  <w:style w:type="paragraph" w:styleId="13">
    <w:name w:val="Date"/>
    <w:basedOn w:val="1"/>
    <w:next w:val="1"/>
    <w:link w:val="36"/>
    <w:qFormat/>
    <w:uiPriority w:val="0"/>
    <w:pPr>
      <w:ind w:left="100" w:leftChars="2500"/>
    </w:pPr>
  </w:style>
  <w:style w:type="paragraph" w:styleId="14">
    <w:name w:val="Balloon Text"/>
    <w:basedOn w:val="1"/>
    <w:link w:val="29"/>
    <w:qFormat/>
    <w:uiPriority w:val="99"/>
    <w:rPr>
      <w:sz w:val="18"/>
      <w:szCs w:val="18"/>
    </w:rPr>
  </w:style>
  <w:style w:type="paragraph" w:styleId="15">
    <w:name w:val="footer"/>
    <w:basedOn w:val="1"/>
    <w:link w:val="33"/>
    <w:qFormat/>
    <w:uiPriority w:val="99"/>
    <w:pPr>
      <w:tabs>
        <w:tab w:val="center" w:pos="4153"/>
        <w:tab w:val="right" w:pos="8306"/>
      </w:tabs>
      <w:snapToGrid w:val="0"/>
      <w:jc w:val="left"/>
    </w:pPr>
    <w:rPr>
      <w:sz w:val="18"/>
      <w:szCs w:val="18"/>
    </w:rPr>
  </w:style>
  <w:style w:type="paragraph" w:styleId="16">
    <w:name w:val="header"/>
    <w:basedOn w:val="1"/>
    <w:link w:val="32"/>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widowControl/>
      <w:tabs>
        <w:tab w:val="right" w:leader="dot" w:pos="8822"/>
      </w:tabs>
      <w:spacing w:after="100" w:line="276" w:lineRule="auto"/>
      <w:jc w:val="center"/>
    </w:pPr>
    <w:rPr>
      <w:kern w:val="0"/>
      <w:sz w:val="22"/>
      <w:szCs w:val="22"/>
    </w:rPr>
  </w:style>
  <w:style w:type="paragraph" w:styleId="18">
    <w:name w:val="Subtitle"/>
    <w:basedOn w:val="1"/>
    <w:next w:val="1"/>
    <w:link w:val="44"/>
    <w:qFormat/>
    <w:uiPriority w:val="99"/>
    <w:pPr>
      <w:jc w:val="center"/>
    </w:pPr>
    <w:rPr>
      <w:rFonts w:ascii="Times New Roman" w:hAnsi="Times New Roman" w:eastAsia="宋体" w:cs="Times New Roman"/>
      <w:bCs/>
      <w:kern w:val="28"/>
      <w:szCs w:val="32"/>
    </w:rPr>
  </w:style>
  <w:style w:type="paragraph" w:styleId="19">
    <w:name w:val="toc 2"/>
    <w:basedOn w:val="1"/>
    <w:next w:val="1"/>
    <w:unhideWhenUsed/>
    <w:qFormat/>
    <w:uiPriority w:val="39"/>
    <w:pPr>
      <w:widowControl/>
      <w:spacing w:after="100" w:line="276" w:lineRule="auto"/>
      <w:ind w:left="220"/>
      <w:jc w:val="left"/>
    </w:pPr>
    <w:rPr>
      <w:kern w:val="0"/>
      <w:sz w:val="22"/>
      <w:szCs w:val="22"/>
    </w:rPr>
  </w:style>
  <w:style w:type="paragraph" w:styleId="20">
    <w:name w:val="Normal (Web)"/>
    <w:basedOn w:val="1"/>
    <w:qFormat/>
    <w:uiPriority w:val="99"/>
    <w:pPr>
      <w:widowControl/>
      <w:adjustRightInd w:val="0"/>
      <w:snapToGrid w:val="0"/>
      <w:spacing w:beforeAutospacing="1" w:afterAutospacing="1"/>
      <w:jc w:val="left"/>
    </w:pPr>
    <w:rPr>
      <w:rFonts w:ascii="Tahoma" w:hAnsi="Tahoma" w:eastAsia="微软雅黑" w:cs="Times New Roman"/>
      <w:kern w:val="0"/>
      <w:sz w:val="24"/>
      <w:szCs w:val="22"/>
    </w:rPr>
  </w:style>
  <w:style w:type="paragraph" w:styleId="21">
    <w:name w:val="annotation subject"/>
    <w:basedOn w:val="7"/>
    <w:next w:val="7"/>
    <w:link w:val="40"/>
    <w:unhideWhenUsed/>
    <w:qFormat/>
    <w:uiPriority w:val="99"/>
    <w:pPr>
      <w:adjustRightInd/>
      <w:spacing w:line="240" w:lineRule="auto"/>
      <w:textAlignment w:val="auto"/>
    </w:pPr>
    <w:rPr>
      <w:rFonts w:ascii="Times New Roman" w:hAnsi="Times New Roman"/>
      <w:b/>
      <w:bCs/>
      <w:kern w:val="2"/>
      <w:szCs w:val="20"/>
    </w:rPr>
  </w:style>
  <w:style w:type="paragraph" w:styleId="22">
    <w:name w:val="Body Text First Indent 2"/>
    <w:basedOn w:val="10"/>
    <w:link w:val="43"/>
    <w:qFormat/>
    <w:uiPriority w:val="0"/>
    <w:pPr>
      <w:ind w:firstLine="420" w:firstLineChars="200"/>
    </w:pPr>
    <w:rPr>
      <w:szCs w:val="24"/>
    </w:rPr>
  </w:style>
  <w:style w:type="table" w:styleId="24">
    <w:name w:val="Table Grid"/>
    <w:basedOn w:val="2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Emphasis"/>
    <w:basedOn w:val="25"/>
    <w:qFormat/>
    <w:uiPriority w:val="20"/>
    <w:rPr>
      <w:i/>
      <w:iCs/>
    </w:rPr>
  </w:style>
  <w:style w:type="character" w:styleId="27">
    <w:name w:val="Hyperlink"/>
    <w:basedOn w:val="25"/>
    <w:unhideWhenUsed/>
    <w:qFormat/>
    <w:uiPriority w:val="99"/>
    <w:rPr>
      <w:color w:val="0563C1" w:themeColor="hyperlink"/>
      <w:u w:val="single"/>
      <w14:textFill>
        <w14:solidFill>
          <w14:schemeClr w14:val="hlink"/>
        </w14:solidFill>
      </w14:textFill>
    </w:rPr>
  </w:style>
  <w:style w:type="character" w:styleId="28">
    <w:name w:val="annotation reference"/>
    <w:basedOn w:val="25"/>
    <w:unhideWhenUsed/>
    <w:qFormat/>
    <w:uiPriority w:val="99"/>
    <w:rPr>
      <w:sz w:val="21"/>
      <w:szCs w:val="21"/>
    </w:rPr>
  </w:style>
  <w:style w:type="character" w:customStyle="1" w:styleId="29">
    <w:name w:val="批注框文本 Char"/>
    <w:basedOn w:val="25"/>
    <w:link w:val="14"/>
    <w:qFormat/>
    <w:uiPriority w:val="99"/>
    <w:rPr>
      <w:rFonts w:asciiTheme="minorHAnsi" w:hAnsiTheme="minorHAnsi" w:eastAsiaTheme="minorEastAsia" w:cstheme="minorBidi"/>
      <w:kern w:val="2"/>
      <w:sz w:val="18"/>
      <w:szCs w:val="18"/>
    </w:rPr>
  </w:style>
  <w:style w:type="paragraph" w:customStyle="1" w:styleId="30">
    <w:name w:val="普通(网站)1"/>
    <w:basedOn w:val="1"/>
    <w:qFormat/>
    <w:uiPriority w:val="0"/>
    <w:pPr>
      <w:widowControl/>
      <w:spacing w:before="100" w:beforeAutospacing="1" w:after="100" w:afterAutospacing="1"/>
      <w:jc w:val="left"/>
    </w:pPr>
    <w:rPr>
      <w:rFonts w:ascii="宋体" w:hAnsi="宋体" w:eastAsia="宋体" w:cs="宋体"/>
      <w:kern w:val="0"/>
      <w:sz w:val="24"/>
    </w:rPr>
  </w:style>
  <w:style w:type="paragraph" w:styleId="31">
    <w:name w:val="List Paragraph"/>
    <w:basedOn w:val="1"/>
    <w:unhideWhenUsed/>
    <w:qFormat/>
    <w:uiPriority w:val="99"/>
    <w:pPr>
      <w:ind w:firstLine="420" w:firstLineChars="200"/>
    </w:pPr>
  </w:style>
  <w:style w:type="character" w:customStyle="1" w:styleId="32">
    <w:name w:val="页眉 Char"/>
    <w:basedOn w:val="25"/>
    <w:link w:val="16"/>
    <w:qFormat/>
    <w:uiPriority w:val="99"/>
    <w:rPr>
      <w:rFonts w:asciiTheme="minorHAnsi" w:hAnsiTheme="minorHAnsi" w:eastAsiaTheme="minorEastAsia" w:cstheme="minorBidi"/>
      <w:kern w:val="2"/>
      <w:sz w:val="18"/>
      <w:szCs w:val="18"/>
    </w:rPr>
  </w:style>
  <w:style w:type="character" w:customStyle="1" w:styleId="33">
    <w:name w:val="页脚 Char"/>
    <w:basedOn w:val="25"/>
    <w:link w:val="15"/>
    <w:qFormat/>
    <w:uiPriority w:val="99"/>
    <w:rPr>
      <w:rFonts w:asciiTheme="minorHAnsi" w:hAnsiTheme="minorHAnsi" w:eastAsiaTheme="minorEastAsia" w:cstheme="minorBidi"/>
      <w:kern w:val="2"/>
      <w:sz w:val="18"/>
      <w:szCs w:val="18"/>
    </w:rPr>
  </w:style>
  <w:style w:type="paragraph" w:customStyle="1" w:styleId="34">
    <w:name w:val="表格"/>
    <w:basedOn w:val="1"/>
    <w:next w:val="1"/>
    <w:link w:val="37"/>
    <w:qFormat/>
    <w:uiPriority w:val="0"/>
    <w:pPr>
      <w:keepNext/>
      <w:adjustRightInd w:val="0"/>
      <w:snapToGrid w:val="0"/>
      <w:jc w:val="center"/>
      <w:textAlignment w:val="baseline"/>
    </w:pPr>
    <w:rPr>
      <w:rFonts w:ascii="Calibri" w:hAnsi="Calibri" w:eastAsia="宋体" w:cs="Times New Roman"/>
      <w:color w:val="000000"/>
      <w:kern w:val="0"/>
      <w:position w:val="-2"/>
      <w:szCs w:val="21"/>
    </w:rPr>
  </w:style>
  <w:style w:type="character" w:customStyle="1" w:styleId="35">
    <w:name w:val="批注文字 Char"/>
    <w:basedOn w:val="25"/>
    <w:link w:val="7"/>
    <w:qFormat/>
    <w:uiPriority w:val="99"/>
    <w:rPr>
      <w:rFonts w:ascii="Calibri" w:hAnsi="Calibri"/>
      <w:sz w:val="21"/>
      <w:szCs w:val="21"/>
    </w:rPr>
  </w:style>
  <w:style w:type="character" w:customStyle="1" w:styleId="36">
    <w:name w:val="日期 Char"/>
    <w:basedOn w:val="25"/>
    <w:link w:val="13"/>
    <w:qFormat/>
    <w:uiPriority w:val="0"/>
    <w:rPr>
      <w:rFonts w:asciiTheme="minorHAnsi" w:hAnsiTheme="minorHAnsi" w:eastAsiaTheme="minorEastAsia" w:cstheme="minorBidi"/>
      <w:kern w:val="2"/>
      <w:sz w:val="21"/>
      <w:szCs w:val="24"/>
    </w:rPr>
  </w:style>
  <w:style w:type="character" w:customStyle="1" w:styleId="37">
    <w:name w:val="表格 Char"/>
    <w:basedOn w:val="25"/>
    <w:link w:val="34"/>
    <w:qFormat/>
    <w:uiPriority w:val="0"/>
    <w:rPr>
      <w:rFonts w:ascii="Calibri" w:hAnsi="Calibri"/>
      <w:color w:val="000000"/>
      <w:position w:val="-2"/>
      <w:sz w:val="21"/>
      <w:szCs w:val="21"/>
    </w:rPr>
  </w:style>
  <w:style w:type="character" w:customStyle="1" w:styleId="38">
    <w:name w:val="标题 1 Char"/>
    <w:basedOn w:val="25"/>
    <w:link w:val="3"/>
    <w:qFormat/>
    <w:uiPriority w:val="0"/>
    <w:rPr>
      <w:rFonts w:ascii="仿宋_GB2312" w:eastAsia="仿宋_GB2312"/>
      <w:kern w:val="2"/>
      <w:sz w:val="28"/>
      <w:szCs w:val="24"/>
    </w:rPr>
  </w:style>
  <w:style w:type="character" w:customStyle="1" w:styleId="39">
    <w:name w:val="标题 4 Char"/>
    <w:basedOn w:val="25"/>
    <w:link w:val="5"/>
    <w:qFormat/>
    <w:uiPriority w:val="0"/>
    <w:rPr>
      <w:rFonts w:ascii="Cambria" w:hAnsi="Cambria"/>
      <w:b/>
      <w:bCs/>
      <w:kern w:val="2"/>
      <w:sz w:val="28"/>
      <w:szCs w:val="28"/>
    </w:rPr>
  </w:style>
  <w:style w:type="character" w:customStyle="1" w:styleId="40">
    <w:name w:val="批注主题 Char"/>
    <w:basedOn w:val="35"/>
    <w:link w:val="21"/>
    <w:qFormat/>
    <w:uiPriority w:val="99"/>
    <w:rPr>
      <w:rFonts w:ascii="Calibri" w:hAnsi="Calibri"/>
      <w:b/>
      <w:bCs/>
      <w:kern w:val="2"/>
      <w:sz w:val="21"/>
      <w:szCs w:val="21"/>
    </w:rPr>
  </w:style>
  <w:style w:type="character" w:customStyle="1" w:styleId="41">
    <w:name w:val="正文文本缩进 Char"/>
    <w:basedOn w:val="25"/>
    <w:link w:val="10"/>
    <w:qFormat/>
    <w:uiPriority w:val="99"/>
    <w:rPr>
      <w:kern w:val="2"/>
      <w:sz w:val="21"/>
    </w:rPr>
  </w:style>
  <w:style w:type="character" w:customStyle="1" w:styleId="42">
    <w:name w:val="纯文本 Char"/>
    <w:basedOn w:val="25"/>
    <w:link w:val="12"/>
    <w:qFormat/>
    <w:uiPriority w:val="0"/>
    <w:rPr>
      <w:rFonts w:ascii="宋体" w:hAnsi="Courier New" w:cstheme="minorBidi"/>
      <w:kern w:val="2"/>
      <w:sz w:val="21"/>
      <w:szCs w:val="22"/>
    </w:rPr>
  </w:style>
  <w:style w:type="character" w:customStyle="1" w:styleId="43">
    <w:name w:val="正文首行缩进 2 Char"/>
    <w:basedOn w:val="41"/>
    <w:link w:val="22"/>
    <w:qFormat/>
    <w:uiPriority w:val="0"/>
    <w:rPr>
      <w:kern w:val="2"/>
      <w:sz w:val="21"/>
      <w:szCs w:val="24"/>
    </w:rPr>
  </w:style>
  <w:style w:type="character" w:customStyle="1" w:styleId="44">
    <w:name w:val="副标题 Char"/>
    <w:basedOn w:val="25"/>
    <w:link w:val="18"/>
    <w:qFormat/>
    <w:uiPriority w:val="99"/>
    <w:rPr>
      <w:bCs/>
      <w:kern w:val="28"/>
      <w:sz w:val="21"/>
      <w:szCs w:val="32"/>
    </w:rPr>
  </w:style>
  <w:style w:type="paragraph" w:customStyle="1" w:styleId="45">
    <w:name w:val="Char"/>
    <w:basedOn w:val="1"/>
    <w:qFormat/>
    <w:uiPriority w:val="0"/>
    <w:pPr>
      <w:keepNext/>
      <w:keepLines/>
      <w:spacing w:line="360" w:lineRule="auto"/>
      <w:jc w:val="left"/>
    </w:pPr>
    <w:rPr>
      <w:rFonts w:ascii="Tahoma" w:hAnsi="Tahoma" w:eastAsia="宋体" w:cs="Times New Roman"/>
      <w:b/>
      <w:color w:val="FF0000"/>
      <w:sz w:val="20"/>
      <w:szCs w:val="20"/>
    </w:rPr>
  </w:style>
  <w:style w:type="character" w:customStyle="1" w:styleId="46">
    <w:name w:val="fontstyle01"/>
    <w:basedOn w:val="25"/>
    <w:qFormat/>
    <w:uiPriority w:val="0"/>
    <w:rPr>
      <w:rFonts w:hint="eastAsia" w:ascii="宋体" w:hAnsi="宋体" w:eastAsia="宋体"/>
      <w:color w:val="000000"/>
      <w:sz w:val="22"/>
      <w:szCs w:val="22"/>
    </w:rPr>
  </w:style>
  <w:style w:type="character" w:customStyle="1" w:styleId="47">
    <w:name w:val="表蕊 Char1"/>
    <w:basedOn w:val="25"/>
    <w:link w:val="48"/>
    <w:qFormat/>
    <w:uiPriority w:val="0"/>
    <w:rPr>
      <w:rFonts w:eastAsia="楷体_GB2312"/>
      <w:spacing w:val="-10"/>
    </w:rPr>
  </w:style>
  <w:style w:type="paragraph" w:customStyle="1" w:styleId="48">
    <w:name w:val="表蕊"/>
    <w:basedOn w:val="1"/>
    <w:link w:val="47"/>
    <w:qFormat/>
    <w:uiPriority w:val="0"/>
    <w:pPr>
      <w:adjustRightInd w:val="0"/>
      <w:spacing w:line="320" w:lineRule="atLeast"/>
      <w:jc w:val="left"/>
      <w:textAlignment w:val="baseline"/>
    </w:pPr>
    <w:rPr>
      <w:rFonts w:ascii="Times New Roman" w:hAnsi="Times New Roman" w:eastAsia="楷体_GB2312" w:cs="Times New Roman"/>
      <w:spacing w:val="-10"/>
      <w:kern w:val="0"/>
      <w:sz w:val="20"/>
      <w:szCs w:val="20"/>
    </w:rPr>
  </w:style>
  <w:style w:type="character" w:customStyle="1" w:styleId="49">
    <w:name w:val="电镀中心正文 Char"/>
    <w:basedOn w:val="25"/>
    <w:link w:val="50"/>
    <w:qFormat/>
    <w:uiPriority w:val="0"/>
    <w:rPr>
      <w:rFonts w:ascii="宋体" w:hAnsi="宋体" w:cs="宋体"/>
      <w:sz w:val="24"/>
      <w:szCs w:val="24"/>
    </w:rPr>
  </w:style>
  <w:style w:type="paragraph" w:customStyle="1" w:styleId="50">
    <w:name w:val="电镀中心正文"/>
    <w:basedOn w:val="1"/>
    <w:link w:val="49"/>
    <w:qFormat/>
    <w:uiPriority w:val="0"/>
    <w:pPr>
      <w:spacing w:line="360" w:lineRule="auto"/>
      <w:ind w:firstLine="480" w:firstLineChars="200"/>
    </w:pPr>
    <w:rPr>
      <w:rFonts w:ascii="宋体" w:hAnsi="宋体" w:eastAsia="宋体" w:cs="宋体"/>
      <w:kern w:val="0"/>
      <w:sz w:val="24"/>
    </w:rPr>
  </w:style>
  <w:style w:type="paragraph" w:customStyle="1" w:styleId="51">
    <w:name w:val="Char1 Char Char Char"/>
    <w:basedOn w:val="1"/>
    <w:qFormat/>
    <w:uiPriority w:val="0"/>
    <w:pPr>
      <w:ind w:firstLine="200" w:firstLineChars="200"/>
    </w:pPr>
    <w:rPr>
      <w:rFonts w:ascii="宋体" w:hAnsi="宋体" w:eastAsia="宋体" w:cs="宋体"/>
    </w:rPr>
  </w:style>
  <w:style w:type="paragraph" w:customStyle="1" w:styleId="52">
    <w:name w:val="环评 正文"/>
    <w:basedOn w:val="1"/>
    <w:qFormat/>
    <w:uiPriority w:val="0"/>
    <w:pPr>
      <w:snapToGrid w:val="0"/>
      <w:spacing w:line="500" w:lineRule="exact"/>
      <w:ind w:firstLine="200" w:firstLineChars="200"/>
      <w:jc w:val="left"/>
    </w:pPr>
    <w:rPr>
      <w:rFonts w:ascii="宋体" w:hAnsi="宋体" w:eastAsia="宋体" w:cs="Times New Roman"/>
      <w:sz w:val="24"/>
    </w:rPr>
  </w:style>
  <w:style w:type="character" w:customStyle="1" w:styleId="53">
    <w:name w:val="纯文本 Char1"/>
    <w:basedOn w:val="25"/>
    <w:qFormat/>
    <w:uiPriority w:val="0"/>
    <w:rPr>
      <w:rFonts w:ascii="宋体" w:hAnsi="Courier New" w:eastAsia="宋体" w:cs="Courier New"/>
      <w:szCs w:val="21"/>
    </w:rPr>
  </w:style>
  <w:style w:type="paragraph" w:customStyle="1" w:styleId="54">
    <w:name w:val="修订1"/>
    <w:hidden/>
    <w:semiHidden/>
    <w:qFormat/>
    <w:uiPriority w:val="99"/>
    <w:rPr>
      <w:rFonts w:ascii="Times New Roman" w:hAnsi="Times New Roman" w:eastAsia="宋体" w:cs="Times New Roman"/>
      <w:kern w:val="2"/>
      <w:sz w:val="21"/>
      <w:lang w:val="en-US" w:eastAsia="zh-CN" w:bidi="ar-SA"/>
    </w:rPr>
  </w:style>
  <w:style w:type="paragraph" w:customStyle="1" w:styleId="55">
    <w:name w:val="xl25"/>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Cs w:val="21"/>
    </w:rPr>
  </w:style>
  <w:style w:type="character" w:customStyle="1" w:styleId="56">
    <w:name w:val="fontstyle11"/>
    <w:basedOn w:val="25"/>
    <w:qFormat/>
    <w:uiPriority w:val="0"/>
    <w:rPr>
      <w:rFonts w:hint="default" w:ascii="Tahoma-Bold" w:hAnsi="Tahoma-Bold"/>
      <w:b/>
      <w:bCs/>
      <w:color w:val="000000"/>
      <w:sz w:val="22"/>
      <w:szCs w:val="22"/>
    </w:rPr>
  </w:style>
  <w:style w:type="character" w:customStyle="1" w:styleId="57">
    <w:name w:val="fontstyle21"/>
    <w:basedOn w:val="25"/>
    <w:qFormat/>
    <w:uiPriority w:val="0"/>
    <w:rPr>
      <w:rFonts w:hint="default" w:ascii="Tahoma" w:hAnsi="Tahoma" w:cs="Tahoma"/>
      <w:color w:val="000000"/>
      <w:sz w:val="16"/>
      <w:szCs w:val="16"/>
    </w:rPr>
  </w:style>
  <w:style w:type="paragraph" w:customStyle="1" w:styleId="58">
    <w:name w:val="列出段落1"/>
    <w:basedOn w:val="1"/>
    <w:qFormat/>
    <w:uiPriority w:val="34"/>
    <w:pPr>
      <w:ind w:firstLine="420" w:firstLineChars="200"/>
    </w:pPr>
    <w:rPr>
      <w:rFonts w:ascii="Times New Roman" w:hAnsi="Times New Roman" w:eastAsia="宋体" w:cs="Times New Roman"/>
      <w:szCs w:val="20"/>
    </w:rPr>
  </w:style>
  <w:style w:type="paragraph" w:customStyle="1" w:styleId="59">
    <w:name w:val="修订2"/>
    <w:hidden/>
    <w:unhideWhenUsed/>
    <w:qFormat/>
    <w:uiPriority w:val="99"/>
    <w:rPr>
      <w:rFonts w:ascii="Times New Roman" w:hAnsi="Times New Roman" w:eastAsia="宋体" w:cs="Times New Roman"/>
      <w:kern w:val="2"/>
      <w:sz w:val="21"/>
      <w:lang w:val="en-US" w:eastAsia="zh-CN" w:bidi="ar-SA"/>
    </w:rPr>
  </w:style>
  <w:style w:type="paragraph" w:customStyle="1" w:styleId="60">
    <w:name w:val="xl2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Times New Roman"/>
      <w:kern w:val="0"/>
      <w:sz w:val="24"/>
    </w:rPr>
  </w:style>
  <w:style w:type="paragraph" w:customStyle="1" w:styleId="61">
    <w:name w:val="WPSOffice手动目录 1"/>
    <w:qFormat/>
    <w:uiPriority w:val="0"/>
    <w:rPr>
      <w:rFonts w:ascii="Times New Roman" w:hAnsi="Times New Roman" w:eastAsia="宋体" w:cs="Times New Roman"/>
      <w:lang w:val="en-US" w:eastAsia="zh-CN" w:bidi="ar-SA"/>
    </w:rPr>
  </w:style>
  <w:style w:type="paragraph" w:customStyle="1" w:styleId="62">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63">
    <w:name w:val="TOC 标题1"/>
    <w:basedOn w:val="3"/>
    <w:next w:val="1"/>
    <w:semiHidden/>
    <w:unhideWhenUsed/>
    <w:qFormat/>
    <w:uiPriority w:val="39"/>
    <w:pPr>
      <w:keepLines/>
      <w:widowControl/>
      <w:spacing w:before="480" w:line="276" w:lineRule="auto"/>
      <w:jc w:val="left"/>
      <w:outlineLvl w:val="9"/>
    </w:pPr>
    <w:rPr>
      <w:rFonts w:asciiTheme="majorHAnsi" w:hAnsiTheme="majorHAnsi" w:eastAsiaTheme="majorEastAsia" w:cstheme="majorBidi"/>
      <w:b/>
      <w:bCs/>
      <w:color w:val="2E75B6" w:themeColor="accent1" w:themeShade="BF"/>
      <w:kern w:val="0"/>
      <w:szCs w:val="28"/>
    </w:rPr>
  </w:style>
  <w:style w:type="character" w:customStyle="1" w:styleId="64">
    <w:name w:val="标题 2 Char"/>
    <w:basedOn w:val="25"/>
    <w:link w:val="4"/>
    <w:semiHidden/>
    <w:qFormat/>
    <w:uiPriority w:val="0"/>
    <w:rPr>
      <w:rFonts w:asciiTheme="majorHAnsi" w:hAnsiTheme="majorHAnsi" w:eastAsiaTheme="majorEastAsia" w:cstheme="majorBidi"/>
      <w:b/>
      <w:bCs/>
      <w:kern w:val="2"/>
      <w:sz w:val="32"/>
      <w:szCs w:val="32"/>
    </w:rPr>
  </w:style>
  <w:style w:type="paragraph" w:customStyle="1" w:styleId="65">
    <w:name w:val="表内容"/>
    <w:basedOn w:val="1"/>
    <w:qFormat/>
    <w:uiPriority w:val="0"/>
    <w:pPr>
      <w:jc w:val="center"/>
    </w:pPr>
    <w:rPr>
      <w:kern w:val="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720CDC-286D-4D7E-82BB-1744CA97A5E6}">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8</Pages>
  <Words>6288</Words>
  <Characters>7077</Characters>
  <Lines>33</Lines>
  <Paragraphs>9</Paragraphs>
  <TotalTime>1</TotalTime>
  <ScaleCrop>false</ScaleCrop>
  <LinksUpToDate>false</LinksUpToDate>
  <CharactersWithSpaces>7079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2018-07-06T03:22:00Z</dcterms:created>
  <dc:creator>Administrator</dc:creator>
  <cp:lastModifiedBy>雩风</cp:lastModifiedBy>
  <cp:lastPrinted>2022-07-15T06:46:00Z</cp:lastPrinted>
  <dcterms:modified xsi:type="dcterms:W3CDTF">2022-09-23T18:20:03Z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780CF3E9B37746E4B391439CB17AA78A</vt:lpwstr>
  </property>
</Properties>
</file>